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DAFE10" w14:textId="77777777" w:rsidR="004A715D" w:rsidRDefault="004A715D" w:rsidP="008A377E">
      <w:pPr>
        <w:jc w:val="center"/>
        <w:rPr>
          <w:rStyle w:val="Textoennegrita"/>
          <w:rFonts w:eastAsia="Times New Roman" w:cs="Arial"/>
          <w:sz w:val="26"/>
          <w:szCs w:val="26"/>
        </w:rPr>
      </w:pPr>
    </w:p>
    <w:p w14:paraId="085192B1" w14:textId="77777777" w:rsidR="008A377E" w:rsidRDefault="008A377E" w:rsidP="008A377E">
      <w:pPr>
        <w:jc w:val="center"/>
        <w:rPr>
          <w:rStyle w:val="nfasis"/>
          <w:rFonts w:eastAsia="Times New Roman" w:cs="Arial"/>
          <w:b/>
          <w:bCs/>
          <w:sz w:val="26"/>
          <w:szCs w:val="26"/>
        </w:rPr>
      </w:pPr>
      <w:r w:rsidRPr="00AB0724">
        <w:rPr>
          <w:rStyle w:val="Textoennegrita"/>
          <w:rFonts w:eastAsia="Times New Roman" w:cs="Arial"/>
          <w:sz w:val="26"/>
          <w:szCs w:val="26"/>
        </w:rPr>
        <w:t xml:space="preserve">Laboratorios Heel España lanza al mercado </w:t>
      </w:r>
      <w:r w:rsidR="00FB6C18">
        <w:rPr>
          <w:rStyle w:val="Textoennegrita"/>
          <w:rFonts w:eastAsia="Times New Roman" w:cs="Arial"/>
          <w:sz w:val="26"/>
          <w:szCs w:val="26"/>
        </w:rPr>
        <w:t>Dermaveel Pro</w:t>
      </w:r>
      <w:r w:rsidRPr="00AB0724">
        <w:rPr>
          <w:rStyle w:val="Textoennegrita"/>
          <w:rFonts w:eastAsia="Times New Roman" w:cs="Arial"/>
          <w:sz w:val="26"/>
          <w:szCs w:val="26"/>
        </w:rPr>
        <w:t xml:space="preserve">, </w:t>
      </w:r>
      <w:r>
        <w:rPr>
          <w:rStyle w:val="Textoennegrita"/>
          <w:rFonts w:eastAsia="Times New Roman" w:cs="Arial"/>
          <w:sz w:val="26"/>
          <w:szCs w:val="26"/>
        </w:rPr>
        <w:t>el nuevo simbiótico</w:t>
      </w:r>
      <w:r w:rsidRPr="00AB0724">
        <w:rPr>
          <w:rStyle w:val="Textoennegrita"/>
          <w:rFonts w:eastAsia="Times New Roman" w:cs="Arial"/>
          <w:sz w:val="26"/>
          <w:szCs w:val="26"/>
        </w:rPr>
        <w:t xml:space="preserve"> de la línea Heel</w:t>
      </w:r>
      <w:r w:rsidRPr="00AB0724">
        <w:rPr>
          <w:rStyle w:val="nfasis"/>
          <w:rFonts w:eastAsia="Times New Roman" w:cs="Arial"/>
          <w:b/>
          <w:bCs/>
          <w:sz w:val="26"/>
          <w:szCs w:val="26"/>
        </w:rPr>
        <w:t>Probiotics</w:t>
      </w:r>
    </w:p>
    <w:p w14:paraId="3C7552D6" w14:textId="77777777" w:rsidR="008A377E" w:rsidRDefault="008A377E" w:rsidP="008A377E">
      <w:pPr>
        <w:pStyle w:val="NormalWeb"/>
        <w:spacing w:line="276" w:lineRule="auto"/>
        <w:jc w:val="both"/>
        <w:rPr>
          <w:rFonts w:asciiTheme="minorHAnsi" w:hAnsiTheme="minorHAnsi" w:cs="Tahoma"/>
          <w:sz w:val="22"/>
          <w:szCs w:val="22"/>
        </w:rPr>
      </w:pPr>
      <w:r w:rsidRPr="00815A71">
        <w:rPr>
          <w:rFonts w:asciiTheme="minorHAnsi" w:hAnsiTheme="minorHAnsi" w:cs="Tahoma"/>
          <w:b/>
          <w:sz w:val="22"/>
          <w:szCs w:val="22"/>
        </w:rPr>
        <w:t xml:space="preserve">Madrid, </w:t>
      </w:r>
      <w:r w:rsidR="00FB6C18">
        <w:rPr>
          <w:rFonts w:asciiTheme="minorHAnsi" w:hAnsiTheme="minorHAnsi" w:cs="Tahoma"/>
          <w:b/>
          <w:sz w:val="22"/>
          <w:szCs w:val="22"/>
        </w:rPr>
        <w:t>enero 2018</w:t>
      </w:r>
      <w:r w:rsidRPr="00815A71">
        <w:rPr>
          <w:rFonts w:asciiTheme="minorHAnsi" w:hAnsiTheme="minorHAnsi" w:cs="Tahoma"/>
          <w:b/>
          <w:sz w:val="22"/>
          <w:szCs w:val="22"/>
        </w:rPr>
        <w:t>.-</w:t>
      </w:r>
      <w:r>
        <w:rPr>
          <w:rFonts w:asciiTheme="minorHAnsi" w:hAnsiTheme="minorHAnsi" w:cs="Tahoma"/>
          <w:sz w:val="22"/>
          <w:szCs w:val="22"/>
        </w:rPr>
        <w:t xml:space="preserve"> </w:t>
      </w:r>
      <w:r w:rsidR="00815A71">
        <w:rPr>
          <w:rFonts w:asciiTheme="minorHAnsi" w:hAnsiTheme="minorHAnsi" w:cs="Tahoma"/>
          <w:sz w:val="22"/>
          <w:szCs w:val="22"/>
        </w:rPr>
        <w:t xml:space="preserve">Laboratorios Heel, líder en Medicina Biorreguladora, lanza al mercado </w:t>
      </w:r>
      <w:r w:rsidR="00FB6C18">
        <w:rPr>
          <w:rFonts w:asciiTheme="minorHAnsi" w:hAnsiTheme="minorHAnsi" w:cs="Tahoma"/>
          <w:b/>
          <w:sz w:val="22"/>
          <w:szCs w:val="22"/>
        </w:rPr>
        <w:t>Dermaveel Pro</w:t>
      </w:r>
      <w:r w:rsidR="001B3587">
        <w:rPr>
          <w:rFonts w:asciiTheme="minorHAnsi" w:hAnsiTheme="minorHAnsi" w:cs="Tahoma"/>
          <w:sz w:val="22"/>
          <w:szCs w:val="22"/>
        </w:rPr>
        <w:t xml:space="preserve">, </w:t>
      </w:r>
      <w:r w:rsidR="00815A71">
        <w:rPr>
          <w:rFonts w:asciiTheme="minorHAnsi" w:hAnsiTheme="minorHAnsi" w:cs="Tahoma"/>
          <w:sz w:val="22"/>
          <w:szCs w:val="22"/>
        </w:rPr>
        <w:t>el nuevo simbiótico de la Línea Heel</w:t>
      </w:r>
      <w:r w:rsidR="00815A71" w:rsidRPr="003A6BC0">
        <w:rPr>
          <w:rFonts w:asciiTheme="minorHAnsi" w:hAnsiTheme="minorHAnsi" w:cs="Tahoma"/>
          <w:i/>
          <w:sz w:val="22"/>
          <w:szCs w:val="22"/>
        </w:rPr>
        <w:t>Probi</w:t>
      </w:r>
      <w:r w:rsidR="007B64CF">
        <w:rPr>
          <w:rFonts w:asciiTheme="minorHAnsi" w:hAnsiTheme="minorHAnsi" w:cs="Tahoma"/>
          <w:i/>
          <w:sz w:val="22"/>
          <w:szCs w:val="22"/>
        </w:rPr>
        <w:t>o</w:t>
      </w:r>
      <w:r w:rsidR="00815A71" w:rsidRPr="003A6BC0">
        <w:rPr>
          <w:rFonts w:asciiTheme="minorHAnsi" w:hAnsiTheme="minorHAnsi" w:cs="Tahoma"/>
          <w:i/>
          <w:sz w:val="22"/>
          <w:szCs w:val="22"/>
        </w:rPr>
        <w:t>tics</w:t>
      </w:r>
      <w:r w:rsidR="00815A71">
        <w:rPr>
          <w:rFonts w:asciiTheme="minorHAnsi" w:hAnsiTheme="minorHAnsi" w:cs="Tahoma"/>
          <w:sz w:val="22"/>
          <w:szCs w:val="22"/>
        </w:rPr>
        <w:t xml:space="preserve">, </w:t>
      </w:r>
      <w:r w:rsidR="00FB6C18">
        <w:rPr>
          <w:rFonts w:asciiTheme="minorHAnsi" w:hAnsiTheme="minorHAnsi" w:cs="Tahoma"/>
          <w:sz w:val="22"/>
          <w:szCs w:val="22"/>
        </w:rPr>
        <w:t xml:space="preserve">que ayuda a mantener </w:t>
      </w:r>
      <w:r w:rsidR="006725A5">
        <w:rPr>
          <w:rFonts w:asciiTheme="minorHAnsi" w:hAnsiTheme="minorHAnsi" w:cs="Tahoma"/>
          <w:sz w:val="22"/>
          <w:szCs w:val="22"/>
        </w:rPr>
        <w:t>una</w:t>
      </w:r>
      <w:r w:rsidR="00FB6C18">
        <w:rPr>
          <w:rFonts w:asciiTheme="minorHAnsi" w:hAnsiTheme="minorHAnsi" w:cs="Tahoma"/>
          <w:sz w:val="22"/>
          <w:szCs w:val="22"/>
        </w:rPr>
        <w:t xml:space="preserve"> piel saludable</w:t>
      </w:r>
      <w:r w:rsidR="00815A71" w:rsidRPr="00D33EFB">
        <w:rPr>
          <w:rFonts w:asciiTheme="minorHAnsi" w:hAnsiTheme="minorHAnsi" w:cs="Tahoma"/>
          <w:sz w:val="22"/>
          <w:szCs w:val="22"/>
        </w:rPr>
        <w:t>.</w:t>
      </w:r>
      <w:r w:rsidR="00815A71">
        <w:rPr>
          <w:rFonts w:asciiTheme="minorHAnsi" w:hAnsiTheme="minorHAnsi" w:cs="Tahoma"/>
          <w:sz w:val="22"/>
          <w:szCs w:val="22"/>
        </w:rPr>
        <w:t xml:space="preserve"> </w:t>
      </w:r>
      <w:r w:rsidR="00FB6C18">
        <w:rPr>
          <w:rFonts w:asciiTheme="minorHAnsi" w:hAnsiTheme="minorHAnsi" w:cs="Tahoma"/>
          <w:b/>
          <w:sz w:val="22"/>
          <w:szCs w:val="22"/>
        </w:rPr>
        <w:t>Dermaveel Pro</w:t>
      </w:r>
      <w:r w:rsidR="003A6BC0">
        <w:rPr>
          <w:rFonts w:asciiTheme="minorHAnsi" w:hAnsiTheme="minorHAnsi" w:cs="Tahoma"/>
          <w:sz w:val="22"/>
          <w:szCs w:val="22"/>
        </w:rPr>
        <w:t xml:space="preserve"> es un complemento alimenticio que se comercializa en un estuche con </w:t>
      </w:r>
      <w:r w:rsidR="00FB6C18">
        <w:rPr>
          <w:rFonts w:asciiTheme="minorHAnsi" w:hAnsiTheme="minorHAnsi" w:cs="Tahoma"/>
          <w:sz w:val="22"/>
          <w:szCs w:val="22"/>
        </w:rPr>
        <w:t>28</w:t>
      </w:r>
      <w:r w:rsidR="001B3587">
        <w:rPr>
          <w:rFonts w:asciiTheme="minorHAnsi" w:hAnsiTheme="minorHAnsi" w:cs="Tahoma"/>
          <w:sz w:val="22"/>
          <w:szCs w:val="22"/>
        </w:rPr>
        <w:t xml:space="preserve"> cápsulas. La posología recomendada es de </w:t>
      </w:r>
      <w:r w:rsidR="003A6BC0">
        <w:rPr>
          <w:rFonts w:asciiTheme="minorHAnsi" w:hAnsiTheme="minorHAnsi" w:cs="Tahoma"/>
          <w:sz w:val="22"/>
          <w:szCs w:val="22"/>
        </w:rPr>
        <w:t xml:space="preserve">una cápsula al día, preferentemente por la mañana. </w:t>
      </w:r>
      <w:r w:rsidR="0068460C">
        <w:rPr>
          <w:rFonts w:asciiTheme="minorHAnsi" w:hAnsiTheme="minorHAnsi" w:cs="Tahoma"/>
          <w:sz w:val="22"/>
          <w:szCs w:val="22"/>
        </w:rPr>
        <w:t>Apto para pacientes ad</w:t>
      </w:r>
      <w:r w:rsidR="001B3587">
        <w:rPr>
          <w:rFonts w:asciiTheme="minorHAnsi" w:hAnsiTheme="minorHAnsi" w:cs="Tahoma"/>
          <w:sz w:val="22"/>
          <w:szCs w:val="22"/>
        </w:rPr>
        <w:t>ultos y niños a partir de 1 año</w:t>
      </w:r>
      <w:r w:rsidR="008B7B15">
        <w:rPr>
          <w:rFonts w:asciiTheme="minorHAnsi" w:hAnsiTheme="minorHAnsi" w:cs="Tahoma"/>
          <w:sz w:val="22"/>
          <w:szCs w:val="22"/>
        </w:rPr>
        <w:t xml:space="preserve">, apto para celiacos y no contiene lactosa. </w:t>
      </w:r>
      <w:r w:rsidR="00D3326E">
        <w:rPr>
          <w:rFonts w:asciiTheme="minorHAnsi" w:hAnsiTheme="minorHAnsi" w:cs="Tahoma"/>
          <w:sz w:val="22"/>
          <w:szCs w:val="22"/>
        </w:rPr>
        <w:t xml:space="preserve">Cada cápsula de </w:t>
      </w:r>
      <w:r w:rsidR="00FB6C18">
        <w:rPr>
          <w:rFonts w:asciiTheme="minorHAnsi" w:hAnsiTheme="minorHAnsi" w:cs="Tahoma"/>
          <w:b/>
          <w:sz w:val="22"/>
          <w:szCs w:val="22"/>
        </w:rPr>
        <w:t>Dermaveel Pro</w:t>
      </w:r>
      <w:r w:rsidR="00D3326E">
        <w:rPr>
          <w:rFonts w:asciiTheme="minorHAnsi" w:hAnsiTheme="minorHAnsi" w:cs="Tahoma"/>
          <w:sz w:val="22"/>
          <w:szCs w:val="22"/>
        </w:rPr>
        <w:t xml:space="preserve"> se compone de: </w:t>
      </w:r>
    </w:p>
    <w:p w14:paraId="7BF7C0F8" w14:textId="77777777" w:rsidR="0068460C" w:rsidRPr="00FB6C18" w:rsidRDefault="0068460C" w:rsidP="0068460C">
      <w:pPr>
        <w:pStyle w:val="Prrafodelista"/>
        <w:numPr>
          <w:ilvl w:val="0"/>
          <w:numId w:val="3"/>
        </w:numPr>
        <w:jc w:val="both"/>
        <w:rPr>
          <w:rFonts w:cs="Tahoma"/>
          <w:lang w:val="en-US" w:eastAsia="es-ES"/>
        </w:rPr>
      </w:pPr>
      <w:r w:rsidRPr="00FB6C18">
        <w:rPr>
          <w:rFonts w:cs="Tahoma"/>
          <w:lang w:val="en-US" w:eastAsia="es-ES"/>
        </w:rPr>
        <w:t xml:space="preserve">Probiótico: Bifidobacterium lactis </w:t>
      </w:r>
      <w:r w:rsidR="00FB6C18" w:rsidRPr="00FB6C18">
        <w:rPr>
          <w:rFonts w:cs="Tahoma"/>
          <w:lang w:val="en-US" w:eastAsia="es-ES"/>
        </w:rPr>
        <w:t>CECT 8145</w:t>
      </w:r>
      <w:r w:rsidRPr="00FB6C18">
        <w:rPr>
          <w:rFonts w:cs="Tahoma"/>
          <w:lang w:val="en-US" w:eastAsia="es-ES"/>
        </w:rPr>
        <w:t>*</w:t>
      </w:r>
      <w:r w:rsidR="00FB6C18" w:rsidRPr="00FB6C18">
        <w:rPr>
          <w:rFonts w:cs="Tahoma"/>
          <w:lang w:val="en-US" w:eastAsia="es-ES"/>
        </w:rPr>
        <w:t>, Bifidobacterium longum CECT 7347* y Lactobacillus casei CECT 9104*</w:t>
      </w:r>
      <w:r w:rsidR="00FB6C18">
        <w:rPr>
          <w:rFonts w:cs="Tahoma"/>
          <w:lang w:val="en-US" w:eastAsia="es-ES"/>
        </w:rPr>
        <w:t>.</w:t>
      </w:r>
    </w:p>
    <w:p w14:paraId="6AB2D324" w14:textId="77777777" w:rsidR="0068460C" w:rsidRPr="0068460C" w:rsidRDefault="0068460C" w:rsidP="0068460C">
      <w:pPr>
        <w:pStyle w:val="Prrafodelista"/>
        <w:numPr>
          <w:ilvl w:val="0"/>
          <w:numId w:val="3"/>
        </w:numPr>
        <w:jc w:val="both"/>
        <w:rPr>
          <w:rFonts w:cs="Tahoma"/>
          <w:lang w:eastAsia="es-ES"/>
        </w:rPr>
      </w:pPr>
      <w:r w:rsidRPr="0068460C">
        <w:rPr>
          <w:rFonts w:cs="Tahoma"/>
          <w:lang w:eastAsia="es-ES"/>
        </w:rPr>
        <w:t xml:space="preserve">Prebiótico: Fructooligosacáridos (FOS) </w:t>
      </w:r>
    </w:p>
    <w:p w14:paraId="695AFF64" w14:textId="77777777" w:rsidR="0068460C" w:rsidRPr="0068460C" w:rsidRDefault="000C5747" w:rsidP="0068460C">
      <w:pPr>
        <w:pStyle w:val="Prrafodelista"/>
        <w:numPr>
          <w:ilvl w:val="0"/>
          <w:numId w:val="3"/>
        </w:numPr>
        <w:jc w:val="both"/>
        <w:rPr>
          <w:rFonts w:cs="Tahoma"/>
          <w:lang w:eastAsia="es-ES"/>
        </w:rPr>
      </w:pPr>
      <w:r>
        <w:rPr>
          <w:rFonts w:cs="Tahoma"/>
          <w:lang w:eastAsia="es-ES"/>
        </w:rPr>
        <w:t>Vitamina</w:t>
      </w:r>
      <w:r w:rsidR="0068460C" w:rsidRPr="0068460C">
        <w:rPr>
          <w:rFonts w:cs="Tahoma"/>
          <w:lang w:eastAsia="es-ES"/>
        </w:rPr>
        <w:t xml:space="preserve">: </w:t>
      </w:r>
      <w:r w:rsidR="00FB6C18">
        <w:rPr>
          <w:rFonts w:cs="Tahoma"/>
          <w:lang w:eastAsia="es-ES"/>
        </w:rPr>
        <w:t>Biotina</w:t>
      </w:r>
      <w:r w:rsidR="00CD45F4">
        <w:rPr>
          <w:rFonts w:cs="Tahoma"/>
          <w:lang w:eastAsia="es-ES"/>
        </w:rPr>
        <w:t>.</w:t>
      </w:r>
    </w:p>
    <w:p w14:paraId="63048E12" w14:textId="77777777" w:rsidR="007B64CF" w:rsidRPr="007B64CF" w:rsidRDefault="007B64CF" w:rsidP="007B64CF">
      <w:pPr>
        <w:pStyle w:val="NormalWeb"/>
        <w:spacing w:line="276" w:lineRule="auto"/>
        <w:jc w:val="both"/>
        <w:rPr>
          <w:rFonts w:asciiTheme="minorHAnsi" w:eastAsia="Times New Roman" w:hAnsiTheme="minorHAnsi" w:cs="Tahoma"/>
          <w:sz w:val="18"/>
          <w:szCs w:val="18"/>
        </w:rPr>
      </w:pPr>
      <w:r>
        <w:rPr>
          <w:rFonts w:asciiTheme="minorHAnsi" w:hAnsiTheme="minorHAnsi" w:cs="Tahoma"/>
          <w:sz w:val="22"/>
          <w:szCs w:val="22"/>
        </w:rPr>
        <w:t>*</w:t>
      </w:r>
      <w:r>
        <w:rPr>
          <w:rFonts w:asciiTheme="minorHAnsi" w:eastAsia="Times New Roman" w:hAnsiTheme="minorHAnsi" w:cs="Tahoma"/>
          <w:sz w:val="18"/>
          <w:szCs w:val="18"/>
        </w:rPr>
        <w:t>1x10</w:t>
      </w:r>
      <w:r w:rsidRPr="00AE6CDF">
        <w:rPr>
          <w:rFonts w:asciiTheme="minorHAnsi" w:eastAsia="Times New Roman" w:hAnsiTheme="minorHAnsi" w:cs="Tahoma"/>
          <w:sz w:val="18"/>
          <w:szCs w:val="18"/>
          <w:vertAlign w:val="superscript"/>
        </w:rPr>
        <w:t>9</w:t>
      </w:r>
      <w:r w:rsidRPr="003317B1">
        <w:rPr>
          <w:rFonts w:asciiTheme="minorHAnsi" w:eastAsia="Times New Roman" w:hAnsiTheme="minorHAnsi" w:cs="Tahoma"/>
          <w:sz w:val="18"/>
          <w:szCs w:val="18"/>
        </w:rPr>
        <w:t xml:space="preserve"> UFC</w:t>
      </w:r>
      <w:r>
        <w:rPr>
          <w:rFonts w:asciiTheme="minorHAnsi" w:eastAsia="Times New Roman" w:hAnsiTheme="minorHAnsi" w:cs="Tahoma"/>
          <w:sz w:val="18"/>
          <w:szCs w:val="18"/>
        </w:rPr>
        <w:t>: Cantidad de cepas probióticas por cápsula</w:t>
      </w:r>
    </w:p>
    <w:p w14:paraId="40CB3436" w14:textId="77777777" w:rsidR="00724766" w:rsidRPr="0068460C" w:rsidRDefault="00253A8D">
      <w:pPr>
        <w:rPr>
          <w:b/>
        </w:rPr>
      </w:pPr>
      <w:r>
        <w:rPr>
          <w:b/>
        </w:rPr>
        <w:t>Prob</w:t>
      </w:r>
      <w:r w:rsidR="00B65933">
        <w:rPr>
          <w:b/>
        </w:rPr>
        <w:t>i</w:t>
      </w:r>
      <w:bookmarkStart w:id="0" w:name="_GoBack"/>
      <w:bookmarkEnd w:id="0"/>
      <w:r>
        <w:rPr>
          <w:b/>
        </w:rPr>
        <w:t>óticos y dermatitis atópica: nuevas evidencias</w:t>
      </w:r>
    </w:p>
    <w:p w14:paraId="4E9ED621" w14:textId="77777777" w:rsidR="006F3522" w:rsidRPr="0087411A" w:rsidRDefault="006F3522" w:rsidP="006F3522">
      <w:pPr>
        <w:jc w:val="both"/>
        <w:rPr>
          <w:b/>
        </w:rPr>
      </w:pPr>
      <w:r w:rsidRPr="001540BE">
        <w:rPr>
          <w:lang w:val="es-ES_tradnl"/>
        </w:rPr>
        <w:t xml:space="preserve">Recientemente, se ha publicado un estudio en la prestigiosa revista de dermatología, </w:t>
      </w:r>
      <w:r w:rsidRPr="001540BE">
        <w:rPr>
          <w:b/>
          <w:lang w:val="es-ES_tradnl"/>
        </w:rPr>
        <w:t>JAMA Dermatology</w:t>
      </w:r>
      <w:r w:rsidRPr="001540BE">
        <w:rPr>
          <w:lang w:val="es-ES_tradnl"/>
        </w:rPr>
        <w:t>, acerca de la eficacia de una mezcla de probióticos</w:t>
      </w:r>
      <w:r>
        <w:rPr>
          <w:lang w:val="es-ES_tradnl"/>
        </w:rPr>
        <w:t xml:space="preserve"> (</w:t>
      </w:r>
      <w:r w:rsidRPr="001540BE">
        <w:rPr>
          <w:lang w:val="es-ES_tradnl"/>
        </w:rPr>
        <w:t>Bifidobacterium lactis CECT 8145, Bifidobacterim longum CECT 7347 y Lactobacillus casei CECT 9104</w:t>
      </w:r>
      <w:r>
        <w:rPr>
          <w:lang w:val="es-ES_tradnl"/>
        </w:rPr>
        <w:t>)</w:t>
      </w:r>
      <w:r w:rsidRPr="001540BE">
        <w:rPr>
          <w:lang w:val="es-ES_tradnl"/>
        </w:rPr>
        <w:t xml:space="preserve"> en la mejora del índice SCORAD (Scoring Atopic Dermatitis) y en la reducción de los días de utilización de corticoides tópicos en pacientes co</w:t>
      </w:r>
      <w:r>
        <w:rPr>
          <w:lang w:val="es-ES_tradnl"/>
        </w:rPr>
        <w:t xml:space="preserve">n dermatitis atópica moderada: </w:t>
      </w:r>
      <w:r w:rsidRPr="006F3522">
        <w:rPr>
          <w:b/>
        </w:rPr>
        <w:t xml:space="preserve">Effect of Oral Administration of a Mixture of Probiotic Strains on SCORAD Index and Use of Topical Steroids in Young Patients With Moderate Atopic Dermatitis. </w:t>
      </w:r>
      <w:r w:rsidRPr="006F3522">
        <w:t xml:space="preserve"> </w:t>
      </w:r>
      <w:r w:rsidRPr="0087411A">
        <w:rPr>
          <w:b/>
        </w:rPr>
        <w:t>A Randomized Clinical Trial</w:t>
      </w:r>
      <w:r w:rsidR="001010D3" w:rsidRPr="0087411A">
        <w:rPr>
          <w:b/>
        </w:rPr>
        <w:t xml:space="preserve"> </w:t>
      </w:r>
      <w:r w:rsidR="001010D3" w:rsidRPr="0087411A">
        <w:rPr>
          <w:b/>
          <w:vertAlign w:val="superscript"/>
        </w:rPr>
        <w:t>(*)</w:t>
      </w:r>
    </w:p>
    <w:p w14:paraId="3E899A03" w14:textId="77777777" w:rsidR="006F3522" w:rsidRDefault="006F3522" w:rsidP="006F3522">
      <w:pPr>
        <w:jc w:val="both"/>
        <w:rPr>
          <w:sz w:val="18"/>
          <w:szCs w:val="18"/>
          <w:lang w:val="es-ES_tradnl"/>
        </w:rPr>
      </w:pPr>
      <w:r>
        <w:rPr>
          <w:sz w:val="18"/>
          <w:szCs w:val="18"/>
          <w:lang w:val="es-ES_tradnl"/>
        </w:rPr>
        <w:t xml:space="preserve">(*) </w:t>
      </w:r>
      <w:r w:rsidRPr="001540BE">
        <w:rPr>
          <w:sz w:val="18"/>
          <w:szCs w:val="18"/>
          <w:lang w:val="es-ES_tradnl"/>
        </w:rPr>
        <w:t>Vicente Navarro-López, MD; Ana Ramírez-Bosca, MD; Daniel Ramón-Vidal, PhD; Beatriz Ruzafa-Sostas, PhD; Salvador Genovés-Martínez, BTech; Empar Chenoll-Cuadros, PhD; Miguel Carrión-Gutiérrez, PhD; Jose Horga de la Parte, MD; David Prieto-Merino, PhD; Francisco M. Codoner-Cortés, PhD</w:t>
      </w:r>
    </w:p>
    <w:p w14:paraId="3FE63FC1" w14:textId="77777777" w:rsidR="006F3522" w:rsidRDefault="006F3522" w:rsidP="006F3522">
      <w:pPr>
        <w:jc w:val="both"/>
        <w:rPr>
          <w:lang w:val="es-ES_tradnl"/>
        </w:rPr>
      </w:pPr>
      <w:r w:rsidRPr="001540BE">
        <w:rPr>
          <w:lang w:val="es-ES_tradnl"/>
        </w:rPr>
        <w:t>Este estudio fue realizado con niños entre 4 y 17 años de edad, diagnosticados de dermatitis atópic</w:t>
      </w:r>
      <w:r w:rsidR="0003665A">
        <w:rPr>
          <w:lang w:val="es-ES_tradnl"/>
        </w:rPr>
        <w:t>a moderada</w:t>
      </w:r>
      <w:r w:rsidRPr="001540BE">
        <w:rPr>
          <w:lang w:val="es-ES_tradnl"/>
        </w:rPr>
        <w:t xml:space="preserve">, con un índice SCORAD entre 20 y 40 y en tratamiento de corticosteroides tópicos. </w:t>
      </w:r>
      <w:r w:rsidRPr="001540BE">
        <w:rPr>
          <w:lang w:val="es-ES_tradnl"/>
        </w:rPr>
        <w:br/>
      </w:r>
      <w:r>
        <w:rPr>
          <w:lang w:val="es-ES_tradnl"/>
        </w:rPr>
        <w:t xml:space="preserve">La investigación </w:t>
      </w:r>
      <w:r w:rsidRPr="001540BE">
        <w:rPr>
          <w:lang w:val="es-ES_tradnl"/>
        </w:rPr>
        <w:t xml:space="preserve">estudia cómo las modificaciones en la microbiota intestinal, mediante </w:t>
      </w:r>
      <w:r>
        <w:rPr>
          <w:lang w:val="es-ES_tradnl"/>
        </w:rPr>
        <w:t>el uso de probióticos, provocan:</w:t>
      </w:r>
    </w:p>
    <w:p w14:paraId="7F28A0B5" w14:textId="77777777" w:rsidR="006F3522" w:rsidRDefault="006F3522" w:rsidP="006F3522">
      <w:pPr>
        <w:pStyle w:val="Prrafodelista"/>
        <w:numPr>
          <w:ilvl w:val="0"/>
          <w:numId w:val="3"/>
        </w:numPr>
        <w:jc w:val="both"/>
        <w:rPr>
          <w:lang w:val="es-ES_tradnl"/>
        </w:rPr>
      </w:pPr>
      <w:r>
        <w:rPr>
          <w:lang w:val="es-ES_tradnl"/>
        </w:rPr>
        <w:t xml:space="preserve">Reducción de brotes de dermatitis atópica en intensidad y duración. </w:t>
      </w:r>
    </w:p>
    <w:p w14:paraId="54AA388A" w14:textId="77777777" w:rsidR="006F3522" w:rsidRDefault="006F3522" w:rsidP="006F3522">
      <w:pPr>
        <w:pStyle w:val="Prrafodelista"/>
        <w:numPr>
          <w:ilvl w:val="0"/>
          <w:numId w:val="3"/>
        </w:numPr>
        <w:jc w:val="both"/>
        <w:rPr>
          <w:lang w:val="es-ES_tradnl"/>
        </w:rPr>
      </w:pPr>
      <w:r>
        <w:rPr>
          <w:lang w:val="es-ES_tradnl"/>
        </w:rPr>
        <w:t>Reducción del uso de corticoides tópicos.</w:t>
      </w:r>
    </w:p>
    <w:p w14:paraId="2147D87B" w14:textId="77777777" w:rsidR="006F3522" w:rsidRDefault="006F3522" w:rsidP="006F3522">
      <w:pPr>
        <w:pStyle w:val="Prrafodelista"/>
        <w:numPr>
          <w:ilvl w:val="0"/>
          <w:numId w:val="3"/>
        </w:numPr>
        <w:jc w:val="both"/>
        <w:rPr>
          <w:lang w:val="es-ES_tradnl"/>
        </w:rPr>
      </w:pPr>
      <w:r>
        <w:rPr>
          <w:lang w:val="es-ES_tradnl"/>
        </w:rPr>
        <w:t xml:space="preserve">Reducción de la extensión e intensidad del eczema. </w:t>
      </w:r>
    </w:p>
    <w:p w14:paraId="5C48B20F" w14:textId="77777777" w:rsidR="00D5471F" w:rsidRDefault="00A90E43" w:rsidP="00D5471F">
      <w:pPr>
        <w:jc w:val="both"/>
        <w:rPr>
          <w:lang w:val="es-ES_tradnl"/>
        </w:rPr>
      </w:pPr>
      <w:r>
        <w:rPr>
          <w:lang w:val="es-ES_tradnl"/>
        </w:rPr>
        <w:t>Vicente Navarro-López, uno de los autores del estudio, asegura que “</w:t>
      </w:r>
      <w:r w:rsidRPr="003F59DE">
        <w:rPr>
          <w:i/>
          <w:lang w:val="es-ES_tradnl"/>
        </w:rPr>
        <w:t>aunque hace falta más investigación, este estudio puede representar un paso muy importante para el tratamiento de la dermatitis atópica</w:t>
      </w:r>
      <w:r>
        <w:rPr>
          <w:lang w:val="es-ES_tradnl"/>
        </w:rPr>
        <w:t>”</w:t>
      </w:r>
      <w:r w:rsidR="004F40AB">
        <w:rPr>
          <w:lang w:val="es-ES_tradnl"/>
        </w:rPr>
        <w:t xml:space="preserve">. </w:t>
      </w:r>
    </w:p>
    <w:sectPr w:rsidR="00D5471F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8A60A7" w14:textId="77777777" w:rsidR="00831A16" w:rsidRDefault="00831A16" w:rsidP="004A715D">
      <w:pPr>
        <w:spacing w:after="0" w:line="240" w:lineRule="auto"/>
      </w:pPr>
      <w:r>
        <w:separator/>
      </w:r>
    </w:p>
  </w:endnote>
  <w:endnote w:type="continuationSeparator" w:id="0">
    <w:p w14:paraId="78146E95" w14:textId="77777777" w:rsidR="00831A16" w:rsidRDefault="00831A16" w:rsidP="004A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utiger 55 Roman">
    <w:altName w:val="Frutiger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47D6BF" w14:textId="77777777" w:rsidR="00831A16" w:rsidRDefault="00831A16" w:rsidP="004A715D">
      <w:pPr>
        <w:spacing w:after="0" w:line="240" w:lineRule="auto"/>
      </w:pPr>
      <w:r>
        <w:separator/>
      </w:r>
    </w:p>
  </w:footnote>
  <w:footnote w:type="continuationSeparator" w:id="0">
    <w:p w14:paraId="6D5328CA" w14:textId="77777777" w:rsidR="00831A16" w:rsidRDefault="00831A16" w:rsidP="004A7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DFDF6C" w14:textId="77777777" w:rsidR="004A715D" w:rsidRDefault="004A715D">
    <w:pPr>
      <w:pStyle w:val="Encabezado"/>
    </w:pPr>
    <w:r>
      <w:rPr>
        <w:noProof/>
        <w:lang w:val="es-ES_tradnl" w:eastAsia="zh-CN"/>
      </w:rPr>
      <w:drawing>
        <wp:anchor distT="0" distB="0" distL="114300" distR="114300" simplePos="0" relativeHeight="251658240" behindDoc="0" locked="0" layoutInCell="1" allowOverlap="1" wp14:anchorId="14CD6384" wp14:editId="266F6B3D">
          <wp:simplePos x="0" y="0"/>
          <wp:positionH relativeFrom="column">
            <wp:posOffset>4458970</wp:posOffset>
          </wp:positionH>
          <wp:positionV relativeFrom="paragraph">
            <wp:posOffset>-1905</wp:posOffset>
          </wp:positionV>
          <wp:extent cx="937260" cy="438150"/>
          <wp:effectExtent l="0" t="0" r="0" b="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dos-tinta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260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8B2AF1" w14:textId="77777777" w:rsidR="004A715D" w:rsidRDefault="004A715D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0065A"/>
    <w:multiLevelType w:val="hybridMultilevel"/>
    <w:tmpl w:val="029468D6"/>
    <w:lvl w:ilvl="0" w:tplc="C2920D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1E04F3"/>
    <w:multiLevelType w:val="hybridMultilevel"/>
    <w:tmpl w:val="7A9883E6"/>
    <w:lvl w:ilvl="0" w:tplc="2B2A39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9676E5"/>
    <w:multiLevelType w:val="hybridMultilevel"/>
    <w:tmpl w:val="24B470D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77E"/>
    <w:rsid w:val="0003665A"/>
    <w:rsid w:val="000C5747"/>
    <w:rsid w:val="001010D3"/>
    <w:rsid w:val="001B3587"/>
    <w:rsid w:val="001E462E"/>
    <w:rsid w:val="00253A8D"/>
    <w:rsid w:val="002704C2"/>
    <w:rsid w:val="003A6BC0"/>
    <w:rsid w:val="003C1120"/>
    <w:rsid w:val="003F59DE"/>
    <w:rsid w:val="004A715D"/>
    <w:rsid w:val="004F40AB"/>
    <w:rsid w:val="00636DCB"/>
    <w:rsid w:val="006725A5"/>
    <w:rsid w:val="0068460C"/>
    <w:rsid w:val="006F3522"/>
    <w:rsid w:val="00724766"/>
    <w:rsid w:val="007B64CF"/>
    <w:rsid w:val="007E47B2"/>
    <w:rsid w:val="00815A71"/>
    <w:rsid w:val="00831A16"/>
    <w:rsid w:val="0087411A"/>
    <w:rsid w:val="008A377E"/>
    <w:rsid w:val="008B7B15"/>
    <w:rsid w:val="009331F4"/>
    <w:rsid w:val="00A90E43"/>
    <w:rsid w:val="00B05E13"/>
    <w:rsid w:val="00B65933"/>
    <w:rsid w:val="00CB190E"/>
    <w:rsid w:val="00CD45F4"/>
    <w:rsid w:val="00D3326E"/>
    <w:rsid w:val="00D33EFB"/>
    <w:rsid w:val="00D5471F"/>
    <w:rsid w:val="00E876A9"/>
    <w:rsid w:val="00F5399D"/>
    <w:rsid w:val="00FB6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7AE5B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A377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A377E"/>
    <w:rPr>
      <w:b/>
      <w:bCs/>
    </w:rPr>
  </w:style>
  <w:style w:type="character" w:styleId="nfasis">
    <w:name w:val="Emphasis"/>
    <w:basedOn w:val="Fuentedeprrafopredeter"/>
    <w:uiPriority w:val="20"/>
    <w:qFormat/>
    <w:rsid w:val="008A377E"/>
    <w:rPr>
      <w:i/>
      <w:iCs/>
    </w:rPr>
  </w:style>
  <w:style w:type="paragraph" w:styleId="NormalWeb">
    <w:name w:val="Normal (Web)"/>
    <w:basedOn w:val="Normal"/>
    <w:uiPriority w:val="99"/>
    <w:unhideWhenUsed/>
    <w:rsid w:val="008A377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4A71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715D"/>
  </w:style>
  <w:style w:type="paragraph" w:styleId="Piedepgina">
    <w:name w:val="footer"/>
    <w:basedOn w:val="Normal"/>
    <w:link w:val="PiedepginaCar"/>
    <w:uiPriority w:val="99"/>
    <w:unhideWhenUsed/>
    <w:rsid w:val="004A71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715D"/>
  </w:style>
  <w:style w:type="paragraph" w:styleId="Textodeglobo">
    <w:name w:val="Balloon Text"/>
    <w:basedOn w:val="Normal"/>
    <w:link w:val="TextodegloboCar"/>
    <w:uiPriority w:val="99"/>
    <w:semiHidden/>
    <w:unhideWhenUsed/>
    <w:rsid w:val="004A7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715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8460C"/>
    <w:pPr>
      <w:ind w:left="720"/>
      <w:contextualSpacing/>
    </w:pPr>
  </w:style>
  <w:style w:type="character" w:customStyle="1" w:styleId="A1">
    <w:name w:val="A1"/>
    <w:uiPriority w:val="99"/>
    <w:rsid w:val="0068460C"/>
    <w:rPr>
      <w:rFonts w:cs="Frutiger 55 Roman"/>
      <w:color w:val="211D1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AECAE7-125E-4048-8CE8-7C72705A9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382</Words>
  <Characters>2107</Characters>
  <Application>Microsoft Macintosh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Arbeloa, Laura</dc:creator>
  <cp:lastModifiedBy>mariaisabel.garcia@heel.es</cp:lastModifiedBy>
  <cp:revision>6</cp:revision>
  <dcterms:created xsi:type="dcterms:W3CDTF">2018-01-08T10:16:00Z</dcterms:created>
  <dcterms:modified xsi:type="dcterms:W3CDTF">2018-01-08T12:50:00Z</dcterms:modified>
</cp:coreProperties>
</file>