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00BE2" w14:textId="06A3B428" w:rsidR="008A377E" w:rsidRPr="00BD7897" w:rsidRDefault="005B41F1" w:rsidP="00BD7897">
      <w:pPr>
        <w:jc w:val="center"/>
        <w:rPr>
          <w:rStyle w:val="Textoennegrita"/>
          <w:rFonts w:eastAsia="Times New Roman" w:cs="Arial"/>
          <w:sz w:val="26"/>
          <w:szCs w:val="26"/>
        </w:rPr>
      </w:pPr>
      <w:r>
        <w:rPr>
          <w:rStyle w:val="Textoennegrita"/>
          <w:rFonts w:eastAsia="Times New Roman" w:cs="Arial"/>
          <w:sz w:val="26"/>
          <w:szCs w:val="26"/>
        </w:rPr>
        <w:t xml:space="preserve">Efecto de la administración oral de una mezcla de cepas </w:t>
      </w:r>
      <w:proofErr w:type="spellStart"/>
      <w:r>
        <w:rPr>
          <w:rStyle w:val="Textoennegrita"/>
          <w:rFonts w:eastAsia="Times New Roman" w:cs="Arial"/>
          <w:sz w:val="26"/>
          <w:szCs w:val="26"/>
        </w:rPr>
        <w:t>probióticas</w:t>
      </w:r>
      <w:proofErr w:type="spellEnd"/>
      <w:r>
        <w:rPr>
          <w:rStyle w:val="Textoennegrita"/>
          <w:rFonts w:eastAsia="Times New Roman" w:cs="Arial"/>
          <w:sz w:val="26"/>
          <w:szCs w:val="26"/>
        </w:rPr>
        <w:t xml:space="preserve"> en el índice SCORAD y el uso de </w:t>
      </w:r>
      <w:proofErr w:type="spellStart"/>
      <w:r>
        <w:rPr>
          <w:rStyle w:val="Textoennegrita"/>
          <w:rFonts w:eastAsia="Times New Roman" w:cs="Arial"/>
          <w:sz w:val="26"/>
          <w:szCs w:val="26"/>
        </w:rPr>
        <w:t>corticoesteroides</w:t>
      </w:r>
      <w:proofErr w:type="spellEnd"/>
      <w:r>
        <w:rPr>
          <w:rStyle w:val="Textoennegrita"/>
          <w:rFonts w:eastAsia="Times New Roman" w:cs="Arial"/>
          <w:sz w:val="26"/>
          <w:szCs w:val="26"/>
        </w:rPr>
        <w:t xml:space="preserve"> tópicos en pacientes jóvenes </w:t>
      </w:r>
      <w:r>
        <w:rPr>
          <w:rStyle w:val="Textoennegrita"/>
          <w:rFonts w:eastAsia="Times New Roman" w:cs="Arial"/>
          <w:sz w:val="26"/>
          <w:szCs w:val="26"/>
        </w:rPr>
        <w:br/>
        <w:t>con dermatitis atópica moderada</w:t>
      </w:r>
      <w:r>
        <w:rPr>
          <w:rStyle w:val="Textoennegrita"/>
          <w:rFonts w:eastAsia="Times New Roman" w:cs="Arial"/>
          <w:sz w:val="26"/>
          <w:szCs w:val="26"/>
        </w:rPr>
        <w:br/>
        <w:t>LA OPINIÓN DEL EXPERTO: Dr. Vicente Navarro-López</w:t>
      </w:r>
    </w:p>
    <w:p w14:paraId="38EEB6F6" w14:textId="552CCDB6" w:rsidR="00EE77CD" w:rsidRDefault="005B41F1" w:rsidP="005B41F1">
      <w:pPr>
        <w:pStyle w:val="NormalWeb"/>
        <w:spacing w:line="276" w:lineRule="auto"/>
        <w:jc w:val="both"/>
        <w:rPr>
          <w:rFonts w:asciiTheme="minorHAnsi" w:hAnsiTheme="minorHAnsi" w:cs="Tahoma"/>
          <w:sz w:val="22"/>
          <w:szCs w:val="22"/>
        </w:rPr>
      </w:pPr>
      <w:r>
        <w:rPr>
          <w:rFonts w:asciiTheme="minorHAnsi" w:hAnsiTheme="minorHAnsi" w:cs="Tahoma"/>
          <w:sz w:val="22"/>
          <w:szCs w:val="22"/>
        </w:rPr>
        <w:t xml:space="preserve">La </w:t>
      </w:r>
      <w:r w:rsidRPr="00D22560">
        <w:rPr>
          <w:rFonts w:asciiTheme="minorHAnsi" w:hAnsiTheme="minorHAnsi" w:cs="Tahoma"/>
          <w:b/>
          <w:bCs/>
          <w:sz w:val="22"/>
          <w:szCs w:val="22"/>
        </w:rPr>
        <w:t>dermatitis atópica</w:t>
      </w:r>
      <w:r>
        <w:rPr>
          <w:rFonts w:asciiTheme="minorHAnsi" w:hAnsiTheme="minorHAnsi" w:cs="Tahoma"/>
          <w:sz w:val="22"/>
          <w:szCs w:val="22"/>
        </w:rPr>
        <w:t xml:space="preserve"> es una enfermedad inflamatoria de la piel que se manifiesta con lesiones que provocan mucho picor, y que suele asociarse a una piel seca que se irrita con mucha facilidad</w:t>
      </w:r>
      <w:r w:rsidR="005C3368">
        <w:rPr>
          <w:rFonts w:asciiTheme="minorHAnsi" w:hAnsiTheme="minorHAnsi" w:cs="Tahoma"/>
          <w:sz w:val="22"/>
          <w:szCs w:val="22"/>
        </w:rPr>
        <w:t>.</w:t>
      </w:r>
    </w:p>
    <w:p w14:paraId="32DCA492" w14:textId="128B1AEF" w:rsidR="005B41F1" w:rsidRDefault="005B41F1" w:rsidP="005B41F1">
      <w:pPr>
        <w:pStyle w:val="NormalWeb"/>
        <w:spacing w:line="276" w:lineRule="auto"/>
        <w:jc w:val="both"/>
        <w:rPr>
          <w:rFonts w:asciiTheme="minorHAnsi" w:hAnsiTheme="minorHAnsi" w:cs="Tahoma"/>
          <w:sz w:val="22"/>
          <w:szCs w:val="22"/>
        </w:rPr>
      </w:pPr>
      <w:r>
        <w:rPr>
          <w:rFonts w:asciiTheme="minorHAnsi" w:hAnsiTheme="minorHAnsi" w:cs="Tahoma"/>
          <w:sz w:val="22"/>
          <w:szCs w:val="22"/>
        </w:rPr>
        <w:t>La prevalencia es aproximadamente de un 3-10% en los adultos y puede alcanzar el 20% en los niños. Suele manifestarse durante el primer año de vida de los niños, pero también puede ocurrir en la adolescencia o en la edad adulta.</w:t>
      </w:r>
    </w:p>
    <w:p w14:paraId="433CE788" w14:textId="5E51FE63" w:rsidR="005B41F1" w:rsidRDefault="005B41F1" w:rsidP="005B41F1">
      <w:pPr>
        <w:pStyle w:val="NormalWeb"/>
        <w:spacing w:line="276" w:lineRule="auto"/>
        <w:jc w:val="both"/>
        <w:rPr>
          <w:rFonts w:asciiTheme="minorHAnsi" w:hAnsiTheme="minorHAnsi" w:cs="Tahoma"/>
          <w:sz w:val="22"/>
          <w:szCs w:val="22"/>
        </w:rPr>
      </w:pPr>
      <w:r>
        <w:rPr>
          <w:rFonts w:asciiTheme="minorHAnsi" w:hAnsiTheme="minorHAnsi" w:cs="Tahoma"/>
          <w:sz w:val="22"/>
          <w:szCs w:val="22"/>
        </w:rPr>
        <w:t xml:space="preserve">El tratamiento habitual son los corticoides tópicos, y en casos severos puede ser necesario el uso de corticoides orales o de </w:t>
      </w:r>
      <w:proofErr w:type="spellStart"/>
      <w:r>
        <w:rPr>
          <w:rFonts w:asciiTheme="minorHAnsi" w:hAnsiTheme="minorHAnsi" w:cs="Tahoma"/>
          <w:sz w:val="22"/>
          <w:szCs w:val="22"/>
        </w:rPr>
        <w:t>inmunomodulares</w:t>
      </w:r>
      <w:proofErr w:type="spellEnd"/>
      <w:r>
        <w:rPr>
          <w:rFonts w:asciiTheme="minorHAnsi" w:hAnsiTheme="minorHAnsi" w:cs="Tahoma"/>
          <w:sz w:val="22"/>
          <w:szCs w:val="22"/>
        </w:rPr>
        <w:t>, lo que suele tener cierto rechazo en los padres si se requieren tratamientos prolongados por temor a que se presenten efectos secundarios.</w:t>
      </w:r>
    </w:p>
    <w:p w14:paraId="26D89828" w14:textId="32247BFA" w:rsidR="005B41F1" w:rsidRDefault="005B41F1" w:rsidP="005B41F1">
      <w:pPr>
        <w:pStyle w:val="NormalWeb"/>
        <w:spacing w:line="276" w:lineRule="auto"/>
        <w:jc w:val="both"/>
        <w:rPr>
          <w:rFonts w:asciiTheme="minorHAnsi" w:hAnsiTheme="minorHAnsi" w:cs="Tahoma"/>
          <w:sz w:val="22"/>
          <w:szCs w:val="22"/>
        </w:rPr>
      </w:pPr>
      <w:r>
        <w:rPr>
          <w:rFonts w:asciiTheme="minorHAnsi" w:hAnsiTheme="minorHAnsi" w:cs="Tahoma"/>
          <w:sz w:val="22"/>
          <w:szCs w:val="22"/>
        </w:rPr>
        <w:t xml:space="preserve">En la actualidad, hay estudios que demuestran que uno de los factores relacionados con la </w:t>
      </w:r>
      <w:r w:rsidRPr="00D22560">
        <w:rPr>
          <w:rFonts w:asciiTheme="minorHAnsi" w:hAnsiTheme="minorHAnsi" w:cs="Tahoma"/>
          <w:b/>
          <w:bCs/>
          <w:sz w:val="22"/>
          <w:szCs w:val="22"/>
        </w:rPr>
        <w:t>dermatitis atópica</w:t>
      </w:r>
      <w:r>
        <w:rPr>
          <w:rFonts w:asciiTheme="minorHAnsi" w:hAnsiTheme="minorHAnsi" w:cs="Tahoma"/>
          <w:sz w:val="22"/>
          <w:szCs w:val="22"/>
        </w:rPr>
        <w:t xml:space="preserve"> se debe a un defecto en la función de la barrera intestinal, lo que favorece que se desencadene una respuesta inmunológica anómala.</w:t>
      </w:r>
    </w:p>
    <w:p w14:paraId="531D9D32" w14:textId="43C3A524" w:rsidR="005B41F1" w:rsidRDefault="005B41F1" w:rsidP="005B41F1">
      <w:pPr>
        <w:pStyle w:val="NormalWeb"/>
        <w:spacing w:line="276" w:lineRule="auto"/>
        <w:jc w:val="both"/>
        <w:rPr>
          <w:rFonts w:asciiTheme="minorHAnsi" w:hAnsiTheme="minorHAnsi" w:cs="Tahoma"/>
          <w:sz w:val="22"/>
          <w:szCs w:val="22"/>
        </w:rPr>
      </w:pPr>
      <w:r>
        <w:rPr>
          <w:rFonts w:asciiTheme="minorHAnsi" w:hAnsiTheme="minorHAnsi" w:cs="Tahoma"/>
          <w:sz w:val="22"/>
          <w:szCs w:val="22"/>
        </w:rPr>
        <w:t xml:space="preserve">Recientemente, un estudio publicado en la prestigiosa revista </w:t>
      </w:r>
      <w:r w:rsidRPr="00D22560">
        <w:rPr>
          <w:rFonts w:asciiTheme="minorHAnsi" w:hAnsiTheme="minorHAnsi" w:cs="Tahoma"/>
          <w:b/>
          <w:bCs/>
          <w:sz w:val="22"/>
          <w:szCs w:val="22"/>
        </w:rPr>
        <w:t xml:space="preserve">JAMA </w:t>
      </w:r>
      <w:proofErr w:type="spellStart"/>
      <w:r w:rsidRPr="00D22560">
        <w:rPr>
          <w:rFonts w:asciiTheme="minorHAnsi" w:hAnsiTheme="minorHAnsi" w:cs="Tahoma"/>
          <w:b/>
          <w:bCs/>
          <w:sz w:val="22"/>
          <w:szCs w:val="22"/>
        </w:rPr>
        <w:t>Dermatology</w:t>
      </w:r>
      <w:proofErr w:type="spellEnd"/>
      <w:r>
        <w:rPr>
          <w:rFonts w:asciiTheme="minorHAnsi" w:hAnsiTheme="minorHAnsi" w:cs="Tahoma"/>
          <w:sz w:val="22"/>
          <w:szCs w:val="22"/>
        </w:rPr>
        <w:t xml:space="preserve"> en enero de 2018, demuestra la eficacia de una mezcla de cepas </w:t>
      </w:r>
      <w:proofErr w:type="spellStart"/>
      <w:r>
        <w:rPr>
          <w:rFonts w:asciiTheme="minorHAnsi" w:hAnsiTheme="minorHAnsi" w:cs="Tahoma"/>
          <w:sz w:val="22"/>
          <w:szCs w:val="22"/>
        </w:rPr>
        <w:t>probióticas</w:t>
      </w:r>
      <w:proofErr w:type="spellEnd"/>
      <w:r>
        <w:rPr>
          <w:rFonts w:asciiTheme="minorHAnsi" w:hAnsiTheme="minorHAnsi" w:cs="Tahoma"/>
          <w:sz w:val="22"/>
          <w:szCs w:val="22"/>
        </w:rPr>
        <w:t xml:space="preserve"> (</w:t>
      </w:r>
      <w:proofErr w:type="spellStart"/>
      <w:r w:rsidRPr="00D22560">
        <w:rPr>
          <w:rFonts w:asciiTheme="minorHAnsi" w:hAnsiTheme="minorHAnsi" w:cs="Tahoma"/>
          <w:b/>
          <w:bCs/>
          <w:i/>
          <w:iCs/>
          <w:sz w:val="22"/>
          <w:szCs w:val="22"/>
        </w:rPr>
        <w:t>Bifidobacterium</w:t>
      </w:r>
      <w:proofErr w:type="spellEnd"/>
      <w:r w:rsidRPr="00D22560">
        <w:rPr>
          <w:rFonts w:asciiTheme="minorHAnsi" w:hAnsiTheme="minorHAnsi" w:cs="Tahoma"/>
          <w:b/>
          <w:bCs/>
          <w:i/>
          <w:iCs/>
          <w:sz w:val="22"/>
          <w:szCs w:val="22"/>
        </w:rPr>
        <w:t xml:space="preserve"> </w:t>
      </w:r>
      <w:proofErr w:type="spellStart"/>
      <w:r w:rsidRPr="00D22560">
        <w:rPr>
          <w:rFonts w:asciiTheme="minorHAnsi" w:hAnsiTheme="minorHAnsi" w:cs="Tahoma"/>
          <w:b/>
          <w:bCs/>
          <w:i/>
          <w:iCs/>
          <w:sz w:val="22"/>
          <w:szCs w:val="22"/>
        </w:rPr>
        <w:t>lactis</w:t>
      </w:r>
      <w:proofErr w:type="spellEnd"/>
      <w:r w:rsidRPr="00D22560">
        <w:rPr>
          <w:rFonts w:asciiTheme="minorHAnsi" w:hAnsiTheme="minorHAnsi" w:cs="Tahoma"/>
          <w:b/>
          <w:bCs/>
          <w:sz w:val="22"/>
          <w:szCs w:val="22"/>
        </w:rPr>
        <w:t xml:space="preserve"> CECT 8145, </w:t>
      </w:r>
      <w:proofErr w:type="spellStart"/>
      <w:r w:rsidRPr="00D22560">
        <w:rPr>
          <w:rFonts w:asciiTheme="minorHAnsi" w:hAnsiTheme="minorHAnsi" w:cs="Tahoma"/>
          <w:b/>
          <w:bCs/>
          <w:i/>
          <w:iCs/>
          <w:sz w:val="22"/>
          <w:szCs w:val="22"/>
        </w:rPr>
        <w:t>Bifidobacterium</w:t>
      </w:r>
      <w:proofErr w:type="spellEnd"/>
      <w:r w:rsidRPr="00D22560">
        <w:rPr>
          <w:rFonts w:asciiTheme="minorHAnsi" w:hAnsiTheme="minorHAnsi" w:cs="Tahoma"/>
          <w:b/>
          <w:bCs/>
          <w:i/>
          <w:iCs/>
          <w:sz w:val="22"/>
          <w:szCs w:val="22"/>
        </w:rPr>
        <w:t xml:space="preserve"> </w:t>
      </w:r>
      <w:proofErr w:type="spellStart"/>
      <w:r w:rsidRPr="00D22560">
        <w:rPr>
          <w:rFonts w:asciiTheme="minorHAnsi" w:hAnsiTheme="minorHAnsi" w:cs="Tahoma"/>
          <w:b/>
          <w:bCs/>
          <w:i/>
          <w:iCs/>
          <w:sz w:val="22"/>
          <w:szCs w:val="22"/>
        </w:rPr>
        <w:t>longum</w:t>
      </w:r>
      <w:proofErr w:type="spellEnd"/>
      <w:r w:rsidRPr="00D22560">
        <w:rPr>
          <w:rFonts w:asciiTheme="minorHAnsi" w:hAnsiTheme="minorHAnsi" w:cs="Tahoma"/>
          <w:b/>
          <w:bCs/>
          <w:sz w:val="22"/>
          <w:szCs w:val="22"/>
        </w:rPr>
        <w:t xml:space="preserve"> CECT 7347 y </w:t>
      </w:r>
      <w:proofErr w:type="spellStart"/>
      <w:r w:rsidRPr="00D22560">
        <w:rPr>
          <w:rFonts w:asciiTheme="minorHAnsi" w:hAnsiTheme="minorHAnsi" w:cs="Tahoma"/>
          <w:b/>
          <w:bCs/>
          <w:i/>
          <w:iCs/>
          <w:sz w:val="22"/>
          <w:szCs w:val="22"/>
        </w:rPr>
        <w:t>Lactobacillus</w:t>
      </w:r>
      <w:proofErr w:type="spellEnd"/>
      <w:r w:rsidRPr="00D22560">
        <w:rPr>
          <w:rFonts w:asciiTheme="minorHAnsi" w:hAnsiTheme="minorHAnsi" w:cs="Tahoma"/>
          <w:b/>
          <w:bCs/>
          <w:i/>
          <w:iCs/>
          <w:sz w:val="22"/>
          <w:szCs w:val="22"/>
        </w:rPr>
        <w:t xml:space="preserve"> </w:t>
      </w:r>
      <w:proofErr w:type="spellStart"/>
      <w:r w:rsidRPr="00D22560">
        <w:rPr>
          <w:rFonts w:asciiTheme="minorHAnsi" w:hAnsiTheme="minorHAnsi" w:cs="Tahoma"/>
          <w:b/>
          <w:bCs/>
          <w:i/>
          <w:iCs/>
          <w:sz w:val="22"/>
          <w:szCs w:val="22"/>
        </w:rPr>
        <w:t>casei</w:t>
      </w:r>
      <w:proofErr w:type="spellEnd"/>
      <w:r w:rsidRPr="00D22560">
        <w:rPr>
          <w:rFonts w:asciiTheme="minorHAnsi" w:hAnsiTheme="minorHAnsi" w:cs="Tahoma"/>
          <w:b/>
          <w:bCs/>
          <w:sz w:val="22"/>
          <w:szCs w:val="22"/>
        </w:rPr>
        <w:t xml:space="preserve"> CECT 9104</w:t>
      </w:r>
      <w:r>
        <w:rPr>
          <w:rFonts w:asciiTheme="minorHAnsi" w:hAnsiTheme="minorHAnsi" w:cs="Tahoma"/>
          <w:sz w:val="22"/>
          <w:szCs w:val="22"/>
        </w:rPr>
        <w:t xml:space="preserve">) en el tratamiento de la </w:t>
      </w:r>
      <w:r w:rsidRPr="00D22560">
        <w:rPr>
          <w:rFonts w:asciiTheme="minorHAnsi" w:hAnsiTheme="minorHAnsi" w:cs="Tahoma"/>
          <w:b/>
          <w:bCs/>
          <w:sz w:val="22"/>
          <w:szCs w:val="22"/>
        </w:rPr>
        <w:t>dermatitis atópica moderada</w:t>
      </w:r>
      <w:r>
        <w:rPr>
          <w:rFonts w:asciiTheme="minorHAnsi" w:hAnsiTheme="minorHAnsi" w:cs="Tahoma"/>
          <w:sz w:val="22"/>
          <w:szCs w:val="22"/>
        </w:rPr>
        <w:t>* reduciendo:</w:t>
      </w:r>
    </w:p>
    <w:p w14:paraId="68669DE1" w14:textId="0C40EE4C" w:rsidR="005B41F1" w:rsidRPr="00D22560" w:rsidRDefault="002E78D0" w:rsidP="002E78D0">
      <w:pPr>
        <w:pStyle w:val="NormalWeb"/>
        <w:numPr>
          <w:ilvl w:val="0"/>
          <w:numId w:val="6"/>
        </w:numPr>
        <w:spacing w:line="276" w:lineRule="auto"/>
        <w:ind w:left="0" w:firstLine="0"/>
        <w:jc w:val="both"/>
        <w:rPr>
          <w:rFonts w:asciiTheme="minorHAnsi" w:hAnsiTheme="minorHAnsi" w:cs="Tahoma"/>
          <w:b/>
          <w:bCs/>
          <w:sz w:val="22"/>
          <w:szCs w:val="22"/>
        </w:rPr>
      </w:pPr>
      <w:r w:rsidRPr="00D22560">
        <w:rPr>
          <w:rFonts w:asciiTheme="minorHAnsi" w:hAnsiTheme="minorHAnsi" w:cs="Tahoma"/>
          <w:b/>
          <w:bCs/>
          <w:sz w:val="22"/>
          <w:szCs w:val="22"/>
        </w:rPr>
        <w:t>La intensidad y duración de los brotes de dermatitis atópica moderada</w:t>
      </w:r>
    </w:p>
    <w:p w14:paraId="31184CA4" w14:textId="299BA4EF" w:rsidR="002E78D0" w:rsidRPr="00D22560" w:rsidRDefault="002E78D0" w:rsidP="002E78D0">
      <w:pPr>
        <w:pStyle w:val="NormalWeb"/>
        <w:numPr>
          <w:ilvl w:val="0"/>
          <w:numId w:val="6"/>
        </w:numPr>
        <w:spacing w:line="276" w:lineRule="auto"/>
        <w:ind w:left="0" w:firstLine="0"/>
        <w:jc w:val="both"/>
        <w:rPr>
          <w:rFonts w:asciiTheme="minorHAnsi" w:hAnsiTheme="minorHAnsi" w:cs="Tahoma"/>
          <w:b/>
          <w:bCs/>
          <w:sz w:val="22"/>
          <w:szCs w:val="22"/>
        </w:rPr>
      </w:pPr>
      <w:r w:rsidRPr="00D22560">
        <w:rPr>
          <w:rFonts w:asciiTheme="minorHAnsi" w:hAnsiTheme="minorHAnsi" w:cs="Tahoma"/>
          <w:b/>
          <w:bCs/>
          <w:sz w:val="22"/>
          <w:szCs w:val="22"/>
        </w:rPr>
        <w:t>El uso de corticoides tópicos</w:t>
      </w:r>
    </w:p>
    <w:p w14:paraId="57A6807A" w14:textId="30C94E01" w:rsidR="002E78D0" w:rsidRPr="00D22560" w:rsidRDefault="002E78D0" w:rsidP="002E78D0">
      <w:pPr>
        <w:pStyle w:val="NormalWeb"/>
        <w:numPr>
          <w:ilvl w:val="0"/>
          <w:numId w:val="6"/>
        </w:numPr>
        <w:spacing w:line="276" w:lineRule="auto"/>
        <w:ind w:left="0" w:firstLine="0"/>
        <w:jc w:val="both"/>
        <w:rPr>
          <w:rFonts w:asciiTheme="minorHAnsi" w:hAnsiTheme="minorHAnsi" w:cs="Tahoma"/>
          <w:b/>
          <w:bCs/>
          <w:sz w:val="22"/>
          <w:szCs w:val="22"/>
        </w:rPr>
      </w:pPr>
      <w:r w:rsidRPr="00D22560">
        <w:rPr>
          <w:rFonts w:asciiTheme="minorHAnsi" w:hAnsiTheme="minorHAnsi" w:cs="Tahoma"/>
          <w:b/>
          <w:bCs/>
          <w:sz w:val="22"/>
          <w:szCs w:val="22"/>
        </w:rPr>
        <w:t>La extensión e intensidad del eczema</w:t>
      </w:r>
    </w:p>
    <w:p w14:paraId="38EDD834" w14:textId="5D295939" w:rsidR="000017E8" w:rsidRDefault="000017E8" w:rsidP="002E78D0">
      <w:pPr>
        <w:spacing w:before="100" w:beforeAutospacing="1" w:after="100" w:afterAutospacing="1" w:line="240" w:lineRule="auto"/>
        <w:jc w:val="both"/>
        <w:rPr>
          <w:rFonts w:cs="Tahoma"/>
          <w:vertAlign w:val="superscript"/>
          <w:lang w:eastAsia="es-ES"/>
        </w:rPr>
      </w:pPr>
      <w:r w:rsidRPr="002E78D0">
        <w:rPr>
          <w:rFonts w:cs="Tahoma"/>
          <w:vertAlign w:val="superscript"/>
          <w:lang w:eastAsia="es-ES"/>
        </w:rPr>
        <w:t xml:space="preserve">(*) </w:t>
      </w:r>
      <w:r w:rsidR="002E78D0" w:rsidRPr="002E78D0">
        <w:rPr>
          <w:rFonts w:cs="Tahoma"/>
          <w:vertAlign w:val="superscript"/>
          <w:lang w:eastAsia="es-ES"/>
        </w:rPr>
        <w:t>Navarro-</w:t>
      </w:r>
      <w:proofErr w:type="spellStart"/>
      <w:r w:rsidR="002E78D0" w:rsidRPr="002E78D0">
        <w:rPr>
          <w:rFonts w:cs="Tahoma"/>
          <w:vertAlign w:val="superscript"/>
          <w:lang w:eastAsia="es-ES"/>
        </w:rPr>
        <w:t>Lopez</w:t>
      </w:r>
      <w:proofErr w:type="spellEnd"/>
      <w:r w:rsidR="002E78D0" w:rsidRPr="002E78D0">
        <w:rPr>
          <w:rFonts w:cs="Tahoma"/>
          <w:vertAlign w:val="superscript"/>
          <w:lang w:eastAsia="es-ES"/>
        </w:rPr>
        <w:t xml:space="preserve"> V, MD et al. </w:t>
      </w:r>
      <w:proofErr w:type="spellStart"/>
      <w:r w:rsidR="002E78D0" w:rsidRPr="002E78D0">
        <w:rPr>
          <w:rFonts w:cs="Tahoma"/>
          <w:vertAlign w:val="superscript"/>
          <w:lang w:eastAsia="es-ES"/>
        </w:rPr>
        <w:t>Effect</w:t>
      </w:r>
      <w:proofErr w:type="spellEnd"/>
      <w:r w:rsidR="002E78D0" w:rsidRPr="002E78D0">
        <w:rPr>
          <w:rFonts w:cs="Tahoma"/>
          <w:vertAlign w:val="superscript"/>
          <w:lang w:eastAsia="es-ES"/>
        </w:rPr>
        <w:t xml:space="preserve"> of Oral </w:t>
      </w:r>
      <w:proofErr w:type="spellStart"/>
      <w:r w:rsidR="002E78D0" w:rsidRPr="002E78D0">
        <w:rPr>
          <w:rFonts w:cs="Tahoma"/>
          <w:vertAlign w:val="superscript"/>
          <w:lang w:eastAsia="es-ES"/>
        </w:rPr>
        <w:t>Administration</w:t>
      </w:r>
      <w:proofErr w:type="spellEnd"/>
      <w:r w:rsidR="002E78D0" w:rsidRPr="002E78D0">
        <w:rPr>
          <w:rFonts w:cs="Tahoma"/>
          <w:vertAlign w:val="superscript"/>
          <w:lang w:eastAsia="es-ES"/>
        </w:rPr>
        <w:t xml:space="preserve"> of a Mixture of </w:t>
      </w:r>
      <w:proofErr w:type="spellStart"/>
      <w:r w:rsidR="002E78D0" w:rsidRPr="002E78D0">
        <w:rPr>
          <w:rFonts w:cs="Tahoma"/>
          <w:vertAlign w:val="superscript"/>
          <w:lang w:eastAsia="es-ES"/>
        </w:rPr>
        <w:t>Probiotic</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Strains</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on</w:t>
      </w:r>
      <w:proofErr w:type="spellEnd"/>
      <w:r w:rsidR="002E78D0" w:rsidRPr="002E78D0">
        <w:rPr>
          <w:rFonts w:cs="Tahoma"/>
          <w:vertAlign w:val="superscript"/>
          <w:lang w:eastAsia="es-ES"/>
        </w:rPr>
        <w:t xml:space="preserve"> SCORAD </w:t>
      </w:r>
      <w:proofErr w:type="spellStart"/>
      <w:r w:rsidR="002E78D0" w:rsidRPr="002E78D0">
        <w:rPr>
          <w:rFonts w:cs="Tahoma"/>
          <w:vertAlign w:val="superscript"/>
          <w:lang w:eastAsia="es-ES"/>
        </w:rPr>
        <w:t>index</w:t>
      </w:r>
      <w:proofErr w:type="spellEnd"/>
      <w:r w:rsidR="002E78D0" w:rsidRPr="002E78D0">
        <w:rPr>
          <w:rFonts w:cs="Tahoma"/>
          <w:vertAlign w:val="superscript"/>
          <w:lang w:eastAsia="es-ES"/>
        </w:rPr>
        <w:t xml:space="preserve"> and Use of </w:t>
      </w:r>
      <w:proofErr w:type="spellStart"/>
      <w:r w:rsidR="002E78D0" w:rsidRPr="002E78D0">
        <w:rPr>
          <w:rFonts w:cs="Tahoma"/>
          <w:vertAlign w:val="superscript"/>
          <w:lang w:eastAsia="es-ES"/>
        </w:rPr>
        <w:t>Topical</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Steroids</w:t>
      </w:r>
      <w:proofErr w:type="spellEnd"/>
      <w:r w:rsidR="002E78D0" w:rsidRPr="002E78D0">
        <w:rPr>
          <w:rFonts w:cs="Tahoma"/>
          <w:vertAlign w:val="superscript"/>
          <w:lang w:eastAsia="es-ES"/>
        </w:rPr>
        <w:t xml:space="preserve"> in Young </w:t>
      </w:r>
      <w:proofErr w:type="spellStart"/>
      <w:r w:rsidR="002E78D0" w:rsidRPr="002E78D0">
        <w:rPr>
          <w:rFonts w:cs="Tahoma"/>
          <w:vertAlign w:val="superscript"/>
          <w:lang w:eastAsia="es-ES"/>
        </w:rPr>
        <w:t>Patients</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With</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Moderate</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Atopic</w:t>
      </w:r>
      <w:proofErr w:type="spellEnd"/>
      <w:r w:rsidR="002E78D0" w:rsidRPr="002E78D0">
        <w:rPr>
          <w:rFonts w:cs="Tahoma"/>
          <w:vertAlign w:val="superscript"/>
          <w:lang w:eastAsia="es-ES"/>
        </w:rPr>
        <w:t xml:space="preserve"> Dermatitis A </w:t>
      </w:r>
      <w:proofErr w:type="spellStart"/>
      <w:r w:rsidR="002E78D0" w:rsidRPr="002E78D0">
        <w:rPr>
          <w:rFonts w:cs="Tahoma"/>
          <w:vertAlign w:val="superscript"/>
          <w:lang w:eastAsia="es-ES"/>
        </w:rPr>
        <w:t>Randomized</w:t>
      </w:r>
      <w:proofErr w:type="spellEnd"/>
      <w:r w:rsidR="002E78D0" w:rsidRPr="002E78D0">
        <w:rPr>
          <w:rFonts w:cs="Tahoma"/>
          <w:vertAlign w:val="superscript"/>
          <w:lang w:eastAsia="es-ES"/>
        </w:rPr>
        <w:t xml:space="preserve"> </w:t>
      </w:r>
      <w:proofErr w:type="spellStart"/>
      <w:r w:rsidR="002E78D0" w:rsidRPr="002E78D0">
        <w:rPr>
          <w:rFonts w:cs="Tahoma"/>
          <w:vertAlign w:val="superscript"/>
          <w:lang w:eastAsia="es-ES"/>
        </w:rPr>
        <w:t>Clinical</w:t>
      </w:r>
      <w:proofErr w:type="spellEnd"/>
      <w:r w:rsidR="002E78D0" w:rsidRPr="002E78D0">
        <w:rPr>
          <w:rFonts w:cs="Tahoma"/>
          <w:vertAlign w:val="superscript"/>
          <w:lang w:eastAsia="es-ES"/>
        </w:rPr>
        <w:t xml:space="preserve"> Trial. </w:t>
      </w:r>
      <w:proofErr w:type="spellStart"/>
      <w:r w:rsidR="002E78D0">
        <w:rPr>
          <w:rFonts w:cs="Tahoma"/>
          <w:vertAlign w:val="superscript"/>
          <w:lang w:eastAsia="es-ES"/>
        </w:rPr>
        <w:t>JAMADermatology</w:t>
      </w:r>
      <w:proofErr w:type="spellEnd"/>
      <w:r w:rsidR="002E78D0">
        <w:rPr>
          <w:rFonts w:cs="Tahoma"/>
          <w:vertAlign w:val="superscript"/>
          <w:lang w:eastAsia="es-ES"/>
        </w:rPr>
        <w:t xml:space="preserve"> / Original </w:t>
      </w:r>
      <w:proofErr w:type="spellStart"/>
      <w:r w:rsidR="002E78D0">
        <w:rPr>
          <w:rFonts w:cs="Tahoma"/>
          <w:vertAlign w:val="superscript"/>
          <w:lang w:eastAsia="es-ES"/>
        </w:rPr>
        <w:t>Investigation</w:t>
      </w:r>
      <w:proofErr w:type="spellEnd"/>
      <w:r w:rsidR="002E78D0">
        <w:rPr>
          <w:rFonts w:cs="Tahoma"/>
          <w:vertAlign w:val="superscript"/>
          <w:lang w:eastAsia="es-ES"/>
        </w:rPr>
        <w:t>. Enero 2018</w:t>
      </w:r>
    </w:p>
    <w:p w14:paraId="3385A039" w14:textId="77777777" w:rsidR="002E78D0" w:rsidRDefault="002E78D0" w:rsidP="00713369">
      <w:pPr>
        <w:pStyle w:val="NormalWeb"/>
        <w:spacing w:line="276" w:lineRule="auto"/>
        <w:jc w:val="both"/>
        <w:outlineLvl w:val="0"/>
        <w:rPr>
          <w:rFonts w:cs="Tahoma"/>
          <w:vertAlign w:val="superscript"/>
        </w:rPr>
      </w:pPr>
      <w:hyperlink r:id="rId8" w:history="1">
        <w:r w:rsidRPr="002E78D0">
          <w:rPr>
            <w:rStyle w:val="Hipervnculo"/>
            <w:rFonts w:cs="Tahoma"/>
            <w:vertAlign w:val="superscript"/>
          </w:rPr>
          <w:t>https://jamanetwork.com/journals/jamadermatology/article-abstract/2</w:t>
        </w:r>
        <w:r w:rsidRPr="002E78D0">
          <w:rPr>
            <w:rStyle w:val="Hipervnculo"/>
            <w:rFonts w:cs="Tahoma"/>
            <w:vertAlign w:val="superscript"/>
          </w:rPr>
          <w:t>6</w:t>
        </w:r>
        <w:r w:rsidRPr="002E78D0">
          <w:rPr>
            <w:rStyle w:val="Hipervnculo"/>
            <w:rFonts w:cs="Tahoma"/>
            <w:vertAlign w:val="superscript"/>
          </w:rPr>
          <w:t>61596</w:t>
        </w:r>
      </w:hyperlink>
    </w:p>
    <w:p w14:paraId="490137DC" w14:textId="77777777" w:rsidR="00707225" w:rsidRDefault="00707225" w:rsidP="002E78D0">
      <w:pPr>
        <w:spacing w:after="0"/>
        <w:jc w:val="both"/>
        <w:rPr>
          <w:rFonts w:cs="Tahoma"/>
        </w:rPr>
      </w:pPr>
    </w:p>
    <w:p w14:paraId="4EC8C32B" w14:textId="77777777" w:rsidR="00707225" w:rsidRDefault="00707225" w:rsidP="002E78D0">
      <w:pPr>
        <w:spacing w:after="0"/>
        <w:jc w:val="both"/>
        <w:rPr>
          <w:rFonts w:cs="Tahoma"/>
        </w:rPr>
      </w:pPr>
    </w:p>
    <w:p w14:paraId="06F43712" w14:textId="77777777" w:rsidR="00707225" w:rsidRDefault="00707225" w:rsidP="002E78D0">
      <w:pPr>
        <w:spacing w:after="0"/>
        <w:jc w:val="both"/>
        <w:rPr>
          <w:rFonts w:cs="Tahoma"/>
        </w:rPr>
      </w:pPr>
    </w:p>
    <w:p w14:paraId="61F156F9" w14:textId="77777777" w:rsidR="00707225" w:rsidRDefault="00707225" w:rsidP="002E78D0">
      <w:pPr>
        <w:spacing w:after="0"/>
        <w:jc w:val="both"/>
        <w:rPr>
          <w:rFonts w:cs="Tahoma"/>
        </w:rPr>
      </w:pPr>
    </w:p>
    <w:p w14:paraId="02A27975" w14:textId="77777777" w:rsidR="00707225" w:rsidRDefault="00707225" w:rsidP="002E78D0">
      <w:pPr>
        <w:spacing w:after="0"/>
        <w:jc w:val="both"/>
        <w:rPr>
          <w:rFonts w:cs="Tahoma"/>
        </w:rPr>
      </w:pPr>
    </w:p>
    <w:p w14:paraId="2E1A3FAB" w14:textId="77777777" w:rsidR="00707225" w:rsidRDefault="00707225" w:rsidP="002E78D0">
      <w:pPr>
        <w:spacing w:after="0"/>
        <w:jc w:val="both"/>
        <w:rPr>
          <w:rFonts w:cs="Tahoma"/>
        </w:rPr>
      </w:pPr>
    </w:p>
    <w:p w14:paraId="40094583" w14:textId="77777777" w:rsidR="00707225" w:rsidRDefault="00707225" w:rsidP="002E78D0">
      <w:pPr>
        <w:spacing w:after="0"/>
        <w:jc w:val="both"/>
        <w:rPr>
          <w:rFonts w:cs="Tahoma"/>
        </w:rPr>
      </w:pPr>
    </w:p>
    <w:p w14:paraId="43BFCADF" w14:textId="23C3DED9" w:rsidR="0068460C" w:rsidRDefault="002E78D0" w:rsidP="002E78D0">
      <w:pPr>
        <w:spacing w:after="0"/>
        <w:jc w:val="both"/>
        <w:rPr>
          <w:rFonts w:cs="Tahoma"/>
        </w:rPr>
      </w:pPr>
      <w:bookmarkStart w:id="0" w:name="_GoBack"/>
      <w:bookmarkEnd w:id="0"/>
      <w:r>
        <w:rPr>
          <w:rFonts w:cs="Tahoma"/>
        </w:rPr>
        <w:lastRenderedPageBreak/>
        <w:t xml:space="preserve">Hablamos con el </w:t>
      </w:r>
      <w:r w:rsidRPr="00D22560">
        <w:rPr>
          <w:rFonts w:cs="Tahoma"/>
          <w:b/>
          <w:bCs/>
        </w:rPr>
        <w:t>Dr. Vicente Navarro López</w:t>
      </w:r>
      <w:r>
        <w:rPr>
          <w:rFonts w:cs="Tahoma"/>
        </w:rPr>
        <w:t xml:space="preserve"> (Unidad de Microbiología Clínica y Enfermedades Infecciosas. Hospital Universitario Vinalopó), que nos explica su </w:t>
      </w:r>
      <w:r w:rsidRPr="002E78D0">
        <w:rPr>
          <w:rFonts w:cs="Tahoma"/>
          <w:b/>
          <w:bCs/>
        </w:rPr>
        <w:t>opinión como experto en el estudio</w:t>
      </w:r>
      <w:r>
        <w:rPr>
          <w:rFonts w:cs="Tahoma"/>
        </w:rPr>
        <w:t>:</w:t>
      </w:r>
    </w:p>
    <w:p w14:paraId="55AAC4EF" w14:textId="77777777" w:rsidR="00D61F7A" w:rsidRDefault="00D61F7A" w:rsidP="002E78D0">
      <w:pPr>
        <w:spacing w:after="0"/>
        <w:jc w:val="both"/>
        <w:rPr>
          <w:rFonts w:cs="Tahoma"/>
        </w:rPr>
      </w:pPr>
    </w:p>
    <w:p w14:paraId="2AD7D8D1" w14:textId="7770DF18"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PREGUNTA:</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¿Por qué utilizar el índice SCORAD y qué tipo de pacientes en relación a éste se incluyeron en el estudio?</w:t>
      </w:r>
    </w:p>
    <w:p w14:paraId="29ABD6E1" w14:textId="20571811" w:rsidR="00CF3C16" w:rsidRPr="00CF3C16" w:rsidRDefault="00CF3C16" w:rsidP="00CF3C16">
      <w:pPr>
        <w:pStyle w:val="p2"/>
        <w:ind w:firstLine="0"/>
        <w:jc w:val="left"/>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DR. VICENTE NAVARRO LÓPEZ</w:t>
      </w:r>
      <w:r w:rsidRPr="00CF3C16">
        <w:rPr>
          <w:rStyle w:val="s1"/>
          <w:rFonts w:asciiTheme="minorHAnsi" w:hAnsiTheme="minorHAnsi"/>
          <w:b/>
          <w:bCs/>
          <w:color w:val="548DD4" w:themeColor="text2" w:themeTint="99"/>
          <w:sz w:val="22"/>
          <w:szCs w:val="22"/>
        </w:rPr>
        <w:t xml:space="preserve">: </w:t>
      </w:r>
      <w:r>
        <w:rPr>
          <w:rStyle w:val="s1"/>
          <w:rFonts w:asciiTheme="minorHAnsi" w:hAnsiTheme="minorHAnsi"/>
          <w:b/>
          <w:bCs/>
          <w:color w:val="000000" w:themeColor="text1"/>
          <w:sz w:val="22"/>
          <w:szCs w:val="22"/>
        </w:rPr>
        <w:br/>
      </w:r>
      <w:r w:rsidRPr="00CF3C16">
        <w:rPr>
          <w:rFonts w:asciiTheme="minorHAnsi" w:hAnsiTheme="minorHAnsi"/>
          <w:color w:val="000000" w:themeColor="text1"/>
          <w:sz w:val="22"/>
          <w:szCs w:val="22"/>
        </w:rPr>
        <w:t>Se distingue según el índice SCORAD entre:</w:t>
      </w:r>
    </w:p>
    <w:p w14:paraId="405F3368" w14:textId="77777777" w:rsidR="00CF3C16" w:rsidRPr="00CF3C16" w:rsidRDefault="00CF3C16" w:rsidP="00CF3C16">
      <w:pPr>
        <w:pStyle w:val="p3"/>
        <w:ind w:left="0" w:hanging="142"/>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color w:val="000000" w:themeColor="text1"/>
          <w:sz w:val="22"/>
          <w:szCs w:val="22"/>
        </w:rPr>
        <w:t>Dermatitis atópica leve con índice SCORAD por debajo de 20.</w:t>
      </w:r>
    </w:p>
    <w:p w14:paraId="1F43E311" w14:textId="77777777" w:rsidR="00CF3C16" w:rsidRPr="00CF3C16" w:rsidRDefault="00CF3C16" w:rsidP="00CF3C16">
      <w:pPr>
        <w:pStyle w:val="p3"/>
        <w:ind w:left="0" w:hanging="142"/>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color w:val="000000" w:themeColor="text1"/>
          <w:sz w:val="22"/>
          <w:szCs w:val="22"/>
        </w:rPr>
        <w:t>Dermatitis atópica moderada con un índice SCORAD entre 20 y 40.</w:t>
      </w:r>
    </w:p>
    <w:p w14:paraId="0A6AC531" w14:textId="77777777" w:rsidR="00CF3C16" w:rsidRPr="00CF3C16" w:rsidRDefault="00CF3C16" w:rsidP="00CF3C16">
      <w:pPr>
        <w:pStyle w:val="p3"/>
        <w:ind w:left="0" w:hanging="142"/>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color w:val="000000" w:themeColor="text1"/>
          <w:sz w:val="22"/>
          <w:szCs w:val="22"/>
        </w:rPr>
        <w:t>Dermatitis atópica severa con un índice SCORAD por encima de 40 (estos pacientes suelen estar tratados con corticoides sistémicos y ciclosporinas).</w:t>
      </w:r>
    </w:p>
    <w:p w14:paraId="3D1B9D40"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En el estudio se incluyeron pacientes con DA moderada, es decir, presentaban un índice SCORAD entre 20 y 40, entre marzo y junio de 2016 tratados en el Centro Dermatológico Estético de Alicante.</w:t>
      </w:r>
    </w:p>
    <w:p w14:paraId="676C7FC8" w14:textId="48430643"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¿Cuáles fueron los criterios de exclusión del estudio?</w:t>
      </w:r>
    </w:p>
    <w:p w14:paraId="486F0C33"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Se excluyeron del estudio aquellos pacientes:</w:t>
      </w:r>
    </w:p>
    <w:p w14:paraId="6733D39F"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 xml:space="preserve">Que hubieran estado expuestos al uso de corticoides sistémicos, ciclosporinas, </w:t>
      </w:r>
      <w:proofErr w:type="spellStart"/>
      <w:r w:rsidRPr="00CF3C16">
        <w:rPr>
          <w:rFonts w:asciiTheme="minorHAnsi" w:hAnsiTheme="minorHAnsi"/>
          <w:b/>
          <w:bCs/>
          <w:color w:val="000000" w:themeColor="text1"/>
          <w:sz w:val="22"/>
          <w:szCs w:val="22"/>
        </w:rPr>
        <w:t>metotrexato</w:t>
      </w:r>
      <w:proofErr w:type="spellEnd"/>
      <w:r w:rsidRPr="00CF3C16">
        <w:rPr>
          <w:rFonts w:asciiTheme="minorHAnsi" w:hAnsiTheme="minorHAnsi"/>
          <w:b/>
          <w:bCs/>
          <w:color w:val="000000" w:themeColor="text1"/>
          <w:sz w:val="22"/>
          <w:szCs w:val="22"/>
        </w:rPr>
        <w:t xml:space="preserve"> o “biológicos” en los tres meses previos al estudio.</w:t>
      </w:r>
    </w:p>
    <w:p w14:paraId="4A4A6576"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Que hubieran tomado antibióticos dos semanas antes del inicio del estudio</w:t>
      </w:r>
      <w:r w:rsidRPr="00CF3C16">
        <w:rPr>
          <w:rFonts w:asciiTheme="minorHAnsi" w:hAnsiTheme="minorHAnsi"/>
          <w:color w:val="000000" w:themeColor="text1"/>
          <w:sz w:val="22"/>
          <w:szCs w:val="22"/>
        </w:rPr>
        <w:t xml:space="preserve"> por el efecto que tienen los antibióticos en la </w:t>
      </w:r>
      <w:proofErr w:type="spellStart"/>
      <w:r w:rsidRPr="00CF3C16">
        <w:rPr>
          <w:rFonts w:asciiTheme="minorHAnsi" w:hAnsiTheme="minorHAnsi"/>
          <w:color w:val="000000" w:themeColor="text1"/>
          <w:sz w:val="22"/>
          <w:szCs w:val="22"/>
        </w:rPr>
        <w:t>microbiota</w:t>
      </w:r>
      <w:proofErr w:type="spellEnd"/>
      <w:r w:rsidRPr="00CF3C16">
        <w:rPr>
          <w:rFonts w:asciiTheme="minorHAnsi" w:hAnsiTheme="minorHAnsi"/>
          <w:color w:val="000000" w:themeColor="text1"/>
          <w:sz w:val="22"/>
          <w:szCs w:val="22"/>
        </w:rPr>
        <w:t xml:space="preserve"> intestinal.</w:t>
      </w:r>
    </w:p>
    <w:p w14:paraId="23232C85"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 xml:space="preserve">Que tuvieran un diagnóstico concomitante de la Enfermedad Inflamatoria Intestinal o de infección bacteriana en el momento de ser </w:t>
      </w:r>
      <w:proofErr w:type="spellStart"/>
      <w:r w:rsidRPr="00CF3C16">
        <w:rPr>
          <w:rFonts w:asciiTheme="minorHAnsi" w:hAnsiTheme="minorHAnsi"/>
          <w:b/>
          <w:bCs/>
          <w:color w:val="000000" w:themeColor="text1"/>
          <w:sz w:val="22"/>
          <w:szCs w:val="22"/>
        </w:rPr>
        <w:t>incluídos</w:t>
      </w:r>
      <w:proofErr w:type="spellEnd"/>
      <w:r w:rsidRPr="00CF3C16">
        <w:rPr>
          <w:rFonts w:asciiTheme="minorHAnsi" w:hAnsiTheme="minorHAnsi"/>
          <w:b/>
          <w:bCs/>
          <w:color w:val="000000" w:themeColor="text1"/>
          <w:sz w:val="22"/>
          <w:szCs w:val="22"/>
        </w:rPr>
        <w:t xml:space="preserve"> en el estudio.</w:t>
      </w:r>
    </w:p>
    <w:p w14:paraId="176FBD31"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Además, a través de un cuestionario objetivo, estos pacientes </w:t>
      </w:r>
      <w:r w:rsidRPr="00CF3C16">
        <w:rPr>
          <w:rFonts w:asciiTheme="minorHAnsi" w:hAnsiTheme="minorHAnsi"/>
          <w:b/>
          <w:bCs/>
          <w:color w:val="000000" w:themeColor="text1"/>
          <w:sz w:val="22"/>
          <w:szCs w:val="22"/>
        </w:rPr>
        <w:t>seguían al 80% una dieta mediterránea.</w:t>
      </w:r>
    </w:p>
    <w:p w14:paraId="34B9B03B"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El estudio fue evaluado y aprobado por el Comité de Ética y de Investigación del Hospital General Universitario de Alicante y se le comunicó a la Agencia Española del Medicamento (EMA) para que clasificara el tipo de estudio que se iba a realizar.</w:t>
      </w:r>
    </w:p>
    <w:p w14:paraId="52AAA073" w14:textId="4E541A1F"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¿Podría explicarnos el diseño del estudio y por qué se utilizó ese número de pacientes?</w:t>
      </w:r>
    </w:p>
    <w:p w14:paraId="76DA2D85"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Se trata de un </w:t>
      </w:r>
      <w:r w:rsidRPr="00CF3C16">
        <w:rPr>
          <w:rFonts w:asciiTheme="minorHAnsi" w:hAnsiTheme="minorHAnsi"/>
          <w:b/>
          <w:bCs/>
          <w:color w:val="000000" w:themeColor="text1"/>
          <w:sz w:val="22"/>
          <w:szCs w:val="22"/>
        </w:rPr>
        <w:t>estudio doble ciego</w:t>
      </w:r>
      <w:r w:rsidRPr="00CF3C16">
        <w:rPr>
          <w:rFonts w:asciiTheme="minorHAnsi" w:hAnsiTheme="minorHAnsi"/>
          <w:color w:val="000000" w:themeColor="text1"/>
          <w:sz w:val="22"/>
          <w:szCs w:val="22"/>
        </w:rPr>
        <w:t xml:space="preserve">, </w:t>
      </w:r>
      <w:r w:rsidRPr="00CF3C16">
        <w:rPr>
          <w:rFonts w:asciiTheme="minorHAnsi" w:hAnsiTheme="minorHAnsi"/>
          <w:b/>
          <w:bCs/>
          <w:color w:val="000000" w:themeColor="text1"/>
          <w:sz w:val="22"/>
          <w:szCs w:val="22"/>
        </w:rPr>
        <w:t>aleatorizado</w:t>
      </w:r>
      <w:r w:rsidRPr="00CF3C16">
        <w:rPr>
          <w:rFonts w:asciiTheme="minorHAnsi" w:hAnsiTheme="minorHAnsi"/>
          <w:color w:val="000000" w:themeColor="text1"/>
          <w:sz w:val="22"/>
          <w:szCs w:val="22"/>
        </w:rPr>
        <w:t xml:space="preserve"> y </w:t>
      </w:r>
      <w:r w:rsidRPr="00CF3C16">
        <w:rPr>
          <w:rFonts w:asciiTheme="minorHAnsi" w:hAnsiTheme="minorHAnsi"/>
          <w:b/>
          <w:bCs/>
          <w:color w:val="000000" w:themeColor="text1"/>
          <w:sz w:val="22"/>
          <w:szCs w:val="22"/>
        </w:rPr>
        <w:t>controlado con placebo</w:t>
      </w:r>
      <w:r w:rsidRPr="00CF3C16">
        <w:rPr>
          <w:rFonts w:asciiTheme="minorHAnsi" w:hAnsiTheme="minorHAnsi"/>
          <w:color w:val="000000" w:themeColor="text1"/>
          <w:sz w:val="22"/>
          <w:szCs w:val="22"/>
        </w:rPr>
        <w:t xml:space="preserve">. Se incluyeron </w:t>
      </w:r>
      <w:r w:rsidRPr="00CF3C16">
        <w:rPr>
          <w:rFonts w:asciiTheme="minorHAnsi" w:hAnsiTheme="minorHAnsi"/>
          <w:b/>
          <w:bCs/>
          <w:color w:val="000000" w:themeColor="text1"/>
          <w:sz w:val="22"/>
          <w:szCs w:val="22"/>
        </w:rPr>
        <w:t>50 pacientes de entre 4 y 17 años con dermatitis atópica moderada</w:t>
      </w:r>
      <w:r w:rsidRPr="00CF3C16">
        <w:rPr>
          <w:rFonts w:asciiTheme="minorHAnsi" w:hAnsiTheme="minorHAnsi"/>
          <w:color w:val="000000" w:themeColor="text1"/>
          <w:sz w:val="22"/>
          <w:szCs w:val="22"/>
        </w:rPr>
        <w:t xml:space="preserve"> y una proporción 1:1 en ambos grupos de estudio.</w:t>
      </w:r>
    </w:p>
    <w:p w14:paraId="2B114E0A"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Es importante destacar que </w:t>
      </w:r>
      <w:r w:rsidRPr="00CF3C16">
        <w:rPr>
          <w:rFonts w:asciiTheme="minorHAnsi" w:hAnsiTheme="minorHAnsi"/>
          <w:b/>
          <w:bCs/>
          <w:color w:val="000000" w:themeColor="text1"/>
          <w:sz w:val="22"/>
          <w:szCs w:val="22"/>
        </w:rPr>
        <w:t xml:space="preserve">se realizó una estratificación por bloques a la hora de </w:t>
      </w:r>
      <w:proofErr w:type="spellStart"/>
      <w:r w:rsidRPr="00CF3C16">
        <w:rPr>
          <w:rFonts w:asciiTheme="minorHAnsi" w:hAnsiTheme="minorHAnsi"/>
          <w:b/>
          <w:bCs/>
          <w:color w:val="000000" w:themeColor="text1"/>
          <w:sz w:val="22"/>
          <w:szCs w:val="22"/>
        </w:rPr>
        <w:t>aleatorizar</w:t>
      </w:r>
      <w:proofErr w:type="spellEnd"/>
      <w:r w:rsidRPr="00CF3C16">
        <w:rPr>
          <w:rFonts w:asciiTheme="minorHAnsi" w:hAnsiTheme="minorHAnsi"/>
          <w:b/>
          <w:bCs/>
          <w:color w:val="000000" w:themeColor="text1"/>
          <w:sz w:val="22"/>
          <w:szCs w:val="22"/>
        </w:rPr>
        <w:t xml:space="preserve"> los pacientes</w:t>
      </w:r>
      <w:r w:rsidRPr="00CF3C16">
        <w:rPr>
          <w:rFonts w:asciiTheme="minorHAnsi" w:hAnsiTheme="minorHAnsi"/>
          <w:color w:val="000000" w:themeColor="text1"/>
          <w:sz w:val="22"/>
          <w:szCs w:val="22"/>
        </w:rPr>
        <w:t xml:space="preserve"> porque hay variables que pueden influir en la respuesta al tratamiento en niños con dermatitis atópica como por ejemplo: si el paciente es varón o mujer, si es mayor o menor de 12 años y si el debut de la enfermedad ha sido precoz (antes de los 4 años) ya que en este último caso son peores respondedores al tratamiento que en los pacientes en los que el debut de la enfermedad esté por encima de los 4 años.</w:t>
      </w:r>
    </w:p>
    <w:p w14:paraId="51EB9FE3"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Estratificando a los pacientes </w:t>
      </w:r>
      <w:r w:rsidRPr="00CF3C16">
        <w:rPr>
          <w:rFonts w:asciiTheme="minorHAnsi" w:hAnsiTheme="minorHAnsi"/>
          <w:b/>
          <w:bCs/>
          <w:color w:val="000000" w:themeColor="text1"/>
          <w:sz w:val="22"/>
          <w:szCs w:val="22"/>
        </w:rPr>
        <w:t>nos asegurábamos que al estudiar la homogeneidad de los dos grupos de población no existía ningún sesgo a la hora de seleccionar pacientes.</w:t>
      </w:r>
    </w:p>
    <w:p w14:paraId="5761A187"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Por tanto, </w:t>
      </w:r>
      <w:r w:rsidRPr="00CF3C16">
        <w:rPr>
          <w:rFonts w:asciiTheme="minorHAnsi" w:hAnsiTheme="minorHAnsi"/>
          <w:b/>
          <w:bCs/>
          <w:color w:val="000000" w:themeColor="text1"/>
          <w:sz w:val="22"/>
          <w:szCs w:val="22"/>
        </w:rPr>
        <w:t>los grupos de estudio se realizaron teniendo en cuenta el sexo, la edad y la edad de inicio de la enfermedad para que fueran grupos homogéneos.</w:t>
      </w:r>
      <w:r w:rsidRPr="00CF3C16">
        <w:rPr>
          <w:rFonts w:asciiTheme="minorHAnsi" w:hAnsiTheme="minorHAnsi"/>
          <w:color w:val="000000" w:themeColor="text1"/>
          <w:sz w:val="22"/>
          <w:szCs w:val="22"/>
        </w:rPr>
        <w:t xml:space="preserve"> El número de pacientes </w:t>
      </w:r>
      <w:proofErr w:type="spellStart"/>
      <w:r w:rsidRPr="00CF3C16">
        <w:rPr>
          <w:rFonts w:asciiTheme="minorHAnsi" w:hAnsiTheme="minorHAnsi"/>
          <w:color w:val="000000" w:themeColor="text1"/>
          <w:sz w:val="22"/>
          <w:szCs w:val="22"/>
        </w:rPr>
        <w:t>incluídos</w:t>
      </w:r>
      <w:proofErr w:type="spellEnd"/>
      <w:r w:rsidRPr="00CF3C16">
        <w:rPr>
          <w:rFonts w:asciiTheme="minorHAnsi" w:hAnsiTheme="minorHAnsi"/>
          <w:color w:val="000000" w:themeColor="text1"/>
          <w:sz w:val="22"/>
          <w:szCs w:val="22"/>
        </w:rPr>
        <w:t xml:space="preserve"> fue de 50. Aunque no parece un número elevado, el estudio estadístico lo consideró suficiente para conseguir significación estadística. El número necesario de sujetos de un </w:t>
      </w:r>
      <w:r w:rsidRPr="00CF3C16">
        <w:rPr>
          <w:rFonts w:asciiTheme="minorHAnsi" w:hAnsiTheme="minorHAnsi"/>
          <w:color w:val="000000" w:themeColor="text1"/>
          <w:sz w:val="22"/>
          <w:szCs w:val="22"/>
        </w:rPr>
        <w:lastRenderedPageBreak/>
        <w:t>estudio va en relación con las características de las variables estudiadas, por ejemplo, si los parámetros de estudio tienen mucha variabilidad, podría ser necesario un número elevado de sujetos, pero si los parámetros de estudio tienen poca variabilidad se puede tener una significación estadística alta con un número reducido de sujetos.</w:t>
      </w:r>
    </w:p>
    <w:p w14:paraId="577E9E9E" w14:textId="0B7AF2AE"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¿Qué tratamientos se comparaban en cada uno de los grupos de pacientes?</w:t>
      </w:r>
    </w:p>
    <w:p w14:paraId="2F9806CA" w14:textId="77777777" w:rsidR="00CF3C16" w:rsidRPr="00CF3C16" w:rsidRDefault="00CF3C16" w:rsidP="00CF3C16">
      <w:pPr>
        <w:pStyle w:val="p2"/>
        <w:ind w:firstLine="0"/>
        <w:rPr>
          <w:rFonts w:asciiTheme="minorHAnsi" w:hAnsiTheme="minorHAnsi"/>
          <w:color w:val="000000" w:themeColor="text1"/>
          <w:sz w:val="22"/>
          <w:szCs w:val="22"/>
        </w:rPr>
      </w:pPr>
      <w:r w:rsidRPr="00CF3C16">
        <w:rPr>
          <w:rStyle w:val="s2"/>
          <w:rFonts w:asciiTheme="minorHAnsi" w:hAnsiTheme="minorHAnsi"/>
          <w:b/>
          <w:bCs/>
          <w:color w:val="000000" w:themeColor="text1"/>
          <w:sz w:val="22"/>
          <w:szCs w:val="22"/>
        </w:rPr>
        <w:t xml:space="preserve">Los pacientes </w:t>
      </w:r>
      <w:proofErr w:type="spellStart"/>
      <w:r w:rsidRPr="00CF3C16">
        <w:rPr>
          <w:rStyle w:val="s2"/>
          <w:rFonts w:asciiTheme="minorHAnsi" w:hAnsiTheme="minorHAnsi"/>
          <w:b/>
          <w:bCs/>
          <w:color w:val="000000" w:themeColor="text1"/>
          <w:sz w:val="22"/>
          <w:szCs w:val="22"/>
        </w:rPr>
        <w:t>incluídos</w:t>
      </w:r>
      <w:proofErr w:type="spellEnd"/>
      <w:r w:rsidRPr="00CF3C16">
        <w:rPr>
          <w:rStyle w:val="s2"/>
          <w:rFonts w:asciiTheme="minorHAnsi" w:hAnsiTheme="minorHAnsi"/>
          <w:b/>
          <w:bCs/>
          <w:color w:val="000000" w:themeColor="text1"/>
          <w:sz w:val="22"/>
          <w:szCs w:val="22"/>
        </w:rPr>
        <w:t xml:space="preserve"> en el estudio se trataban según protocolo de guías clínicas de dermatitis atópica y, en concreto, en la clínica se utilizó un corticoide tópico, un emoliente todos los días después de la ducha y un antihistamínico oral ajustado según peso cuando era necesario.</w:t>
      </w:r>
    </w:p>
    <w:p w14:paraId="764942BB"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Además de este tratamiento estándar para todos los pacientes, de los 50 pacientes </w:t>
      </w:r>
      <w:proofErr w:type="spellStart"/>
      <w:r w:rsidRPr="00CF3C16">
        <w:rPr>
          <w:rFonts w:asciiTheme="minorHAnsi" w:hAnsiTheme="minorHAnsi"/>
          <w:color w:val="000000" w:themeColor="text1"/>
          <w:sz w:val="22"/>
          <w:szCs w:val="22"/>
        </w:rPr>
        <w:t>incluídos</w:t>
      </w:r>
      <w:proofErr w:type="spellEnd"/>
      <w:r w:rsidRPr="00CF3C16">
        <w:rPr>
          <w:rFonts w:asciiTheme="minorHAnsi" w:hAnsiTheme="minorHAnsi"/>
          <w:color w:val="000000" w:themeColor="text1"/>
          <w:sz w:val="22"/>
          <w:szCs w:val="22"/>
        </w:rPr>
        <w:t xml:space="preserve"> en el estudio, 26 fueron </w:t>
      </w:r>
      <w:proofErr w:type="spellStart"/>
      <w:r w:rsidRPr="00CF3C16">
        <w:rPr>
          <w:rFonts w:asciiTheme="minorHAnsi" w:hAnsiTheme="minorHAnsi"/>
          <w:color w:val="000000" w:themeColor="text1"/>
          <w:sz w:val="22"/>
          <w:szCs w:val="22"/>
        </w:rPr>
        <w:t>incluídos</w:t>
      </w:r>
      <w:proofErr w:type="spellEnd"/>
      <w:r w:rsidRPr="00CF3C16">
        <w:rPr>
          <w:rFonts w:asciiTheme="minorHAnsi" w:hAnsiTheme="minorHAnsi"/>
          <w:color w:val="000000" w:themeColor="text1"/>
          <w:sz w:val="22"/>
          <w:szCs w:val="22"/>
        </w:rPr>
        <w:t xml:space="preserve"> en el grupo </w:t>
      </w:r>
      <w:proofErr w:type="spellStart"/>
      <w:r w:rsidRPr="00CF3C16">
        <w:rPr>
          <w:rFonts w:asciiTheme="minorHAnsi" w:hAnsiTheme="minorHAnsi"/>
          <w:color w:val="000000" w:themeColor="text1"/>
          <w:sz w:val="22"/>
          <w:szCs w:val="22"/>
        </w:rPr>
        <w:t>probiótico</w:t>
      </w:r>
      <w:proofErr w:type="spellEnd"/>
      <w:r w:rsidRPr="00CF3C16">
        <w:rPr>
          <w:rFonts w:asciiTheme="minorHAnsi" w:hAnsiTheme="minorHAnsi"/>
          <w:color w:val="000000" w:themeColor="text1"/>
          <w:sz w:val="22"/>
          <w:szCs w:val="22"/>
        </w:rPr>
        <w:t xml:space="preserve">, a los cuales se les administró una combinación de cepas </w:t>
      </w:r>
      <w:proofErr w:type="spellStart"/>
      <w:r w:rsidRPr="00CF3C16">
        <w:rPr>
          <w:rFonts w:asciiTheme="minorHAnsi" w:hAnsiTheme="minorHAnsi"/>
          <w:color w:val="000000" w:themeColor="text1"/>
          <w:sz w:val="22"/>
          <w:szCs w:val="22"/>
        </w:rPr>
        <w:t>probióticas</w:t>
      </w:r>
      <w:proofErr w:type="spellEnd"/>
      <w:r w:rsidRPr="00CF3C16">
        <w:rPr>
          <w:rFonts w:asciiTheme="minorHAnsi" w:hAnsiTheme="minorHAnsi"/>
          <w:color w:val="000000" w:themeColor="text1"/>
          <w:sz w:val="22"/>
          <w:szCs w:val="22"/>
        </w:rPr>
        <w:t xml:space="preserve"> y 24 pacientes en el grupo que recibía placebo. Los dos grupos antes de empezar la intervención eran grupos homogéneos por la aleatorización estratificada que se había realizado inicialmente.</w:t>
      </w:r>
    </w:p>
    <w:p w14:paraId="7391E77B" w14:textId="06BCA168"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Style w:val="s2"/>
          <w:rFonts w:asciiTheme="minorHAnsi" w:hAnsiTheme="minorHAnsi"/>
          <w:b/>
          <w:bCs/>
          <w:color w:val="000000" w:themeColor="text1"/>
          <w:sz w:val="22"/>
          <w:szCs w:val="22"/>
        </w:rPr>
        <w:t xml:space="preserve">¿Por qué se eligieron las cepas </w:t>
      </w:r>
      <w:proofErr w:type="spellStart"/>
      <w:r w:rsidRPr="00CF3C16">
        <w:rPr>
          <w:rStyle w:val="s2"/>
          <w:rFonts w:asciiTheme="minorHAnsi" w:hAnsiTheme="minorHAnsi"/>
          <w:b/>
          <w:bCs/>
          <w:color w:val="000000" w:themeColor="text1"/>
          <w:sz w:val="22"/>
          <w:szCs w:val="22"/>
        </w:rPr>
        <w:t>probióticas</w:t>
      </w:r>
      <w:proofErr w:type="spellEnd"/>
      <w:r w:rsidRPr="00CF3C16">
        <w:rPr>
          <w:rStyle w:val="s2"/>
          <w:rFonts w:asciiTheme="minorHAnsi" w:hAnsiTheme="minorHAnsi"/>
          <w:b/>
          <w:bCs/>
          <w:color w:val="000000" w:themeColor="text1"/>
          <w:sz w:val="22"/>
          <w:szCs w:val="22"/>
        </w:rPr>
        <w:t xml:space="preserve"> </w:t>
      </w:r>
      <w:proofErr w:type="spellStart"/>
      <w:r w:rsidRPr="00CF3C16">
        <w:rPr>
          <w:rStyle w:val="s2"/>
          <w:rFonts w:asciiTheme="minorHAnsi" w:hAnsiTheme="minorHAnsi"/>
          <w:b/>
          <w:bCs/>
          <w:i/>
          <w:iCs/>
          <w:color w:val="000000" w:themeColor="text1"/>
          <w:sz w:val="22"/>
          <w:szCs w:val="22"/>
        </w:rPr>
        <w:t>Bifidobacterium</w:t>
      </w:r>
      <w:proofErr w:type="spellEnd"/>
      <w:r w:rsidRPr="00CF3C16">
        <w:rPr>
          <w:rStyle w:val="s2"/>
          <w:rFonts w:asciiTheme="minorHAnsi" w:hAnsiTheme="minorHAnsi"/>
          <w:b/>
          <w:bCs/>
          <w:i/>
          <w:iCs/>
          <w:color w:val="000000" w:themeColor="text1"/>
          <w:sz w:val="22"/>
          <w:szCs w:val="22"/>
        </w:rPr>
        <w:t xml:space="preserve"> </w:t>
      </w:r>
      <w:proofErr w:type="spellStart"/>
      <w:r w:rsidRPr="00CF3C16">
        <w:rPr>
          <w:rStyle w:val="s2"/>
          <w:rFonts w:asciiTheme="minorHAnsi" w:hAnsiTheme="minorHAnsi"/>
          <w:b/>
          <w:bCs/>
          <w:i/>
          <w:iCs/>
          <w:color w:val="000000" w:themeColor="text1"/>
          <w:sz w:val="22"/>
          <w:szCs w:val="22"/>
        </w:rPr>
        <w:t>lactis</w:t>
      </w:r>
      <w:proofErr w:type="spellEnd"/>
      <w:r w:rsidRPr="00CF3C16">
        <w:rPr>
          <w:rStyle w:val="s2"/>
          <w:rFonts w:asciiTheme="minorHAnsi" w:hAnsiTheme="minorHAnsi"/>
          <w:b/>
          <w:bCs/>
          <w:color w:val="000000" w:themeColor="text1"/>
          <w:sz w:val="22"/>
          <w:szCs w:val="22"/>
        </w:rPr>
        <w:t xml:space="preserve"> CECT 8145, </w:t>
      </w:r>
      <w:proofErr w:type="spellStart"/>
      <w:r w:rsidRPr="00CF3C16">
        <w:rPr>
          <w:rStyle w:val="s2"/>
          <w:rFonts w:asciiTheme="minorHAnsi" w:hAnsiTheme="minorHAnsi"/>
          <w:b/>
          <w:bCs/>
          <w:i/>
          <w:iCs/>
          <w:color w:val="000000" w:themeColor="text1"/>
          <w:sz w:val="22"/>
          <w:szCs w:val="22"/>
        </w:rPr>
        <w:t>Bifidobacterium</w:t>
      </w:r>
      <w:proofErr w:type="spellEnd"/>
      <w:r w:rsidRPr="00CF3C16">
        <w:rPr>
          <w:rStyle w:val="s2"/>
          <w:rFonts w:asciiTheme="minorHAnsi" w:hAnsiTheme="minorHAnsi"/>
          <w:b/>
          <w:bCs/>
          <w:i/>
          <w:iCs/>
          <w:color w:val="000000" w:themeColor="text1"/>
          <w:sz w:val="22"/>
          <w:szCs w:val="22"/>
        </w:rPr>
        <w:t xml:space="preserve"> </w:t>
      </w:r>
      <w:proofErr w:type="spellStart"/>
      <w:r w:rsidRPr="00CF3C16">
        <w:rPr>
          <w:rStyle w:val="s2"/>
          <w:rFonts w:asciiTheme="minorHAnsi" w:hAnsiTheme="minorHAnsi"/>
          <w:b/>
          <w:bCs/>
          <w:i/>
          <w:iCs/>
          <w:color w:val="000000" w:themeColor="text1"/>
          <w:sz w:val="22"/>
          <w:szCs w:val="22"/>
        </w:rPr>
        <w:t>longum</w:t>
      </w:r>
      <w:proofErr w:type="spellEnd"/>
      <w:r w:rsidRPr="00CF3C16">
        <w:rPr>
          <w:rStyle w:val="s2"/>
          <w:rFonts w:asciiTheme="minorHAnsi" w:hAnsiTheme="minorHAnsi"/>
          <w:b/>
          <w:bCs/>
          <w:color w:val="000000" w:themeColor="text1"/>
          <w:sz w:val="22"/>
          <w:szCs w:val="22"/>
        </w:rPr>
        <w:t xml:space="preserve"> CECT 7347 y </w:t>
      </w:r>
      <w:proofErr w:type="spellStart"/>
      <w:r w:rsidRPr="00CF3C16">
        <w:rPr>
          <w:rStyle w:val="s2"/>
          <w:rFonts w:asciiTheme="minorHAnsi" w:hAnsiTheme="minorHAnsi"/>
          <w:b/>
          <w:bCs/>
          <w:i/>
          <w:iCs/>
          <w:color w:val="000000" w:themeColor="text1"/>
          <w:sz w:val="22"/>
          <w:szCs w:val="22"/>
        </w:rPr>
        <w:t>Lactobacillus</w:t>
      </w:r>
      <w:proofErr w:type="spellEnd"/>
      <w:r w:rsidRPr="00CF3C16">
        <w:rPr>
          <w:rStyle w:val="s2"/>
          <w:rFonts w:asciiTheme="minorHAnsi" w:hAnsiTheme="minorHAnsi"/>
          <w:b/>
          <w:bCs/>
          <w:i/>
          <w:iCs/>
          <w:color w:val="000000" w:themeColor="text1"/>
          <w:sz w:val="22"/>
          <w:szCs w:val="22"/>
        </w:rPr>
        <w:t xml:space="preserve"> </w:t>
      </w:r>
      <w:proofErr w:type="spellStart"/>
      <w:r w:rsidRPr="00CF3C16">
        <w:rPr>
          <w:rStyle w:val="s2"/>
          <w:rFonts w:asciiTheme="minorHAnsi" w:hAnsiTheme="minorHAnsi"/>
          <w:b/>
          <w:bCs/>
          <w:i/>
          <w:iCs/>
          <w:color w:val="000000" w:themeColor="text1"/>
          <w:sz w:val="22"/>
          <w:szCs w:val="22"/>
        </w:rPr>
        <w:t>casei</w:t>
      </w:r>
      <w:proofErr w:type="spellEnd"/>
      <w:r w:rsidRPr="00CF3C16">
        <w:rPr>
          <w:rStyle w:val="s2"/>
          <w:rFonts w:asciiTheme="minorHAnsi" w:hAnsiTheme="minorHAnsi"/>
          <w:b/>
          <w:bCs/>
          <w:color w:val="000000" w:themeColor="text1"/>
          <w:sz w:val="22"/>
          <w:szCs w:val="22"/>
        </w:rPr>
        <w:t xml:space="preserve"> CECT 9104?</w:t>
      </w:r>
    </w:p>
    <w:p w14:paraId="3F6A5B16"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En estudios previos </w:t>
      </w:r>
      <w:r w:rsidRPr="00CF3C16">
        <w:rPr>
          <w:rFonts w:asciiTheme="minorHAnsi" w:hAnsiTheme="minorHAnsi"/>
          <w:b/>
          <w:bCs/>
          <w:color w:val="000000" w:themeColor="text1"/>
          <w:sz w:val="22"/>
          <w:szCs w:val="22"/>
        </w:rPr>
        <w:t xml:space="preserve">se ha comprobado que la mezcla de </w:t>
      </w:r>
      <w:proofErr w:type="spellStart"/>
      <w:r w:rsidRPr="00CF3C16">
        <w:rPr>
          <w:rFonts w:asciiTheme="minorHAnsi" w:hAnsiTheme="minorHAnsi"/>
          <w:b/>
          <w:bCs/>
          <w:color w:val="000000" w:themeColor="text1"/>
          <w:sz w:val="22"/>
          <w:szCs w:val="22"/>
        </w:rPr>
        <w:t>bifidobacterias</w:t>
      </w:r>
      <w:proofErr w:type="spellEnd"/>
      <w:r w:rsidRPr="00CF3C16">
        <w:rPr>
          <w:rFonts w:asciiTheme="minorHAnsi" w:hAnsiTheme="minorHAnsi"/>
          <w:b/>
          <w:bCs/>
          <w:color w:val="000000" w:themeColor="text1"/>
          <w:sz w:val="22"/>
          <w:szCs w:val="22"/>
        </w:rPr>
        <w:t xml:space="preserve"> y de lactobacilos suele tener mejores resultados en esta patología que cuando se utilizan de forma independiente. </w:t>
      </w:r>
      <w:r w:rsidRPr="00CF3C16">
        <w:rPr>
          <w:rFonts w:asciiTheme="minorHAnsi" w:hAnsiTheme="minorHAnsi"/>
          <w:color w:val="000000" w:themeColor="text1"/>
          <w:sz w:val="22"/>
          <w:szCs w:val="22"/>
        </w:rPr>
        <w:t xml:space="preserve">Partiendo de esta base, se eligieron </w:t>
      </w:r>
      <w:r w:rsidRPr="00CF3C16">
        <w:rPr>
          <w:rFonts w:asciiTheme="minorHAnsi" w:hAnsiTheme="minorHAnsi"/>
          <w:b/>
          <w:bCs/>
          <w:color w:val="000000" w:themeColor="text1"/>
          <w:sz w:val="22"/>
          <w:szCs w:val="22"/>
        </w:rPr>
        <w:t xml:space="preserve">cepas con potencial antiinflamatorio, </w:t>
      </w:r>
      <w:proofErr w:type="spellStart"/>
      <w:r w:rsidRPr="00CF3C16">
        <w:rPr>
          <w:rFonts w:asciiTheme="minorHAnsi" w:hAnsiTheme="minorHAnsi"/>
          <w:b/>
          <w:bCs/>
          <w:color w:val="000000" w:themeColor="text1"/>
          <w:sz w:val="22"/>
          <w:szCs w:val="22"/>
        </w:rPr>
        <w:t>inmunomodulador</w:t>
      </w:r>
      <w:proofErr w:type="spellEnd"/>
      <w:r w:rsidRPr="00CF3C16">
        <w:rPr>
          <w:rFonts w:asciiTheme="minorHAnsi" w:hAnsiTheme="minorHAnsi"/>
          <w:b/>
          <w:bCs/>
          <w:color w:val="000000" w:themeColor="text1"/>
          <w:sz w:val="22"/>
          <w:szCs w:val="22"/>
        </w:rPr>
        <w:t xml:space="preserve"> y antioxidante</w:t>
      </w:r>
      <w:r w:rsidRPr="00CF3C16">
        <w:rPr>
          <w:rFonts w:asciiTheme="minorHAnsi" w:hAnsiTheme="minorHAnsi"/>
          <w:color w:val="000000" w:themeColor="text1"/>
          <w:sz w:val="22"/>
          <w:szCs w:val="22"/>
        </w:rPr>
        <w:t xml:space="preserve">. En este caso, las cepas </w:t>
      </w:r>
      <w:proofErr w:type="spellStart"/>
      <w:r w:rsidRPr="00CF3C16">
        <w:rPr>
          <w:rFonts w:asciiTheme="minorHAnsi" w:hAnsiTheme="minorHAnsi"/>
          <w:b/>
          <w:bCs/>
          <w:i/>
          <w:iCs/>
          <w:color w:val="000000" w:themeColor="text1"/>
          <w:sz w:val="22"/>
          <w:szCs w:val="22"/>
        </w:rPr>
        <w:t>Bifidobacterium</w:t>
      </w:r>
      <w:proofErr w:type="spellEnd"/>
      <w:r w:rsidRPr="00CF3C16">
        <w:rPr>
          <w:rFonts w:asciiTheme="minorHAnsi" w:hAnsiTheme="minorHAnsi"/>
          <w:b/>
          <w:bCs/>
          <w:i/>
          <w:iCs/>
          <w:color w:val="000000" w:themeColor="text1"/>
          <w:sz w:val="22"/>
          <w:szCs w:val="22"/>
        </w:rPr>
        <w:t xml:space="preserve"> </w:t>
      </w:r>
      <w:proofErr w:type="spellStart"/>
      <w:r w:rsidRPr="00CF3C16">
        <w:rPr>
          <w:rFonts w:asciiTheme="minorHAnsi" w:hAnsiTheme="minorHAnsi"/>
          <w:b/>
          <w:bCs/>
          <w:i/>
          <w:iCs/>
          <w:color w:val="000000" w:themeColor="text1"/>
          <w:sz w:val="22"/>
          <w:szCs w:val="22"/>
        </w:rPr>
        <w:t>longum</w:t>
      </w:r>
      <w:proofErr w:type="spellEnd"/>
      <w:r w:rsidRPr="00CF3C16">
        <w:rPr>
          <w:rFonts w:asciiTheme="minorHAnsi" w:hAnsiTheme="minorHAnsi"/>
          <w:color w:val="000000" w:themeColor="text1"/>
          <w:sz w:val="22"/>
          <w:szCs w:val="22"/>
        </w:rPr>
        <w:t xml:space="preserve"> </w:t>
      </w:r>
      <w:r w:rsidRPr="00CF3C16">
        <w:rPr>
          <w:rFonts w:asciiTheme="minorHAnsi" w:hAnsiTheme="minorHAnsi"/>
          <w:b/>
          <w:bCs/>
          <w:color w:val="000000" w:themeColor="text1"/>
          <w:sz w:val="22"/>
          <w:szCs w:val="22"/>
        </w:rPr>
        <w:t>CECT 7347</w:t>
      </w:r>
      <w:r w:rsidRPr="00CF3C16">
        <w:rPr>
          <w:rFonts w:asciiTheme="minorHAnsi" w:hAnsiTheme="minorHAnsi"/>
          <w:color w:val="000000" w:themeColor="text1"/>
          <w:sz w:val="22"/>
          <w:szCs w:val="22"/>
        </w:rPr>
        <w:t xml:space="preserve"> y </w:t>
      </w:r>
      <w:proofErr w:type="spellStart"/>
      <w:r w:rsidRPr="00CF3C16">
        <w:rPr>
          <w:rFonts w:asciiTheme="minorHAnsi" w:hAnsiTheme="minorHAnsi"/>
          <w:b/>
          <w:bCs/>
          <w:i/>
          <w:iCs/>
          <w:color w:val="000000" w:themeColor="text1"/>
          <w:sz w:val="22"/>
          <w:szCs w:val="22"/>
        </w:rPr>
        <w:t>Bifidobacterium</w:t>
      </w:r>
      <w:proofErr w:type="spellEnd"/>
      <w:r w:rsidRPr="00CF3C16">
        <w:rPr>
          <w:rFonts w:asciiTheme="minorHAnsi" w:hAnsiTheme="minorHAnsi"/>
          <w:b/>
          <w:bCs/>
          <w:i/>
          <w:iCs/>
          <w:color w:val="000000" w:themeColor="text1"/>
          <w:sz w:val="22"/>
          <w:szCs w:val="22"/>
        </w:rPr>
        <w:t xml:space="preserve"> </w:t>
      </w:r>
      <w:proofErr w:type="spellStart"/>
      <w:r w:rsidRPr="00CF3C16">
        <w:rPr>
          <w:rFonts w:asciiTheme="minorHAnsi" w:hAnsiTheme="minorHAnsi"/>
          <w:b/>
          <w:bCs/>
          <w:i/>
          <w:iCs/>
          <w:color w:val="000000" w:themeColor="text1"/>
          <w:sz w:val="22"/>
          <w:szCs w:val="22"/>
        </w:rPr>
        <w:t>lactis</w:t>
      </w:r>
      <w:proofErr w:type="spellEnd"/>
      <w:r w:rsidRPr="00CF3C16">
        <w:rPr>
          <w:rFonts w:asciiTheme="minorHAnsi" w:hAnsiTheme="minorHAnsi"/>
          <w:b/>
          <w:bCs/>
          <w:i/>
          <w:iCs/>
          <w:color w:val="000000" w:themeColor="text1"/>
          <w:sz w:val="22"/>
          <w:szCs w:val="22"/>
        </w:rPr>
        <w:t xml:space="preserve"> </w:t>
      </w:r>
      <w:r w:rsidRPr="00CF3C16">
        <w:rPr>
          <w:rFonts w:asciiTheme="minorHAnsi" w:hAnsiTheme="minorHAnsi"/>
          <w:b/>
          <w:bCs/>
          <w:color w:val="000000" w:themeColor="text1"/>
          <w:sz w:val="22"/>
          <w:szCs w:val="22"/>
        </w:rPr>
        <w:t>CECT 8145</w:t>
      </w:r>
      <w:r w:rsidRPr="00CF3C16">
        <w:rPr>
          <w:rFonts w:asciiTheme="minorHAnsi" w:hAnsiTheme="minorHAnsi"/>
          <w:color w:val="000000" w:themeColor="text1"/>
          <w:sz w:val="22"/>
          <w:szCs w:val="22"/>
        </w:rPr>
        <w:t xml:space="preserve">, a las que se añadió la cepa </w:t>
      </w:r>
      <w:proofErr w:type="spellStart"/>
      <w:r w:rsidRPr="00CF3C16">
        <w:rPr>
          <w:rFonts w:asciiTheme="minorHAnsi" w:hAnsiTheme="minorHAnsi"/>
          <w:b/>
          <w:bCs/>
          <w:i/>
          <w:iCs/>
          <w:color w:val="000000" w:themeColor="text1"/>
          <w:sz w:val="22"/>
          <w:szCs w:val="22"/>
        </w:rPr>
        <w:t>Lactobacillus</w:t>
      </w:r>
      <w:proofErr w:type="spellEnd"/>
      <w:r w:rsidRPr="00CF3C16">
        <w:rPr>
          <w:rFonts w:asciiTheme="minorHAnsi" w:hAnsiTheme="minorHAnsi"/>
          <w:b/>
          <w:bCs/>
          <w:i/>
          <w:iCs/>
          <w:color w:val="000000" w:themeColor="text1"/>
          <w:sz w:val="22"/>
          <w:szCs w:val="22"/>
        </w:rPr>
        <w:t xml:space="preserve"> </w:t>
      </w:r>
      <w:proofErr w:type="spellStart"/>
      <w:r w:rsidRPr="00CF3C16">
        <w:rPr>
          <w:rFonts w:asciiTheme="minorHAnsi" w:hAnsiTheme="minorHAnsi"/>
          <w:b/>
          <w:bCs/>
          <w:i/>
          <w:iCs/>
          <w:color w:val="000000" w:themeColor="text1"/>
          <w:sz w:val="22"/>
          <w:szCs w:val="22"/>
        </w:rPr>
        <w:t>casei</w:t>
      </w:r>
      <w:proofErr w:type="spellEnd"/>
      <w:r w:rsidRPr="00CF3C16">
        <w:rPr>
          <w:rFonts w:asciiTheme="minorHAnsi" w:hAnsiTheme="minorHAnsi"/>
          <w:b/>
          <w:bCs/>
          <w:i/>
          <w:iCs/>
          <w:color w:val="000000" w:themeColor="text1"/>
          <w:sz w:val="22"/>
          <w:szCs w:val="22"/>
        </w:rPr>
        <w:t xml:space="preserve"> CECT 9104 </w:t>
      </w:r>
      <w:r w:rsidRPr="00CF3C16">
        <w:rPr>
          <w:rFonts w:asciiTheme="minorHAnsi" w:hAnsiTheme="minorHAnsi"/>
          <w:color w:val="000000" w:themeColor="text1"/>
          <w:sz w:val="22"/>
          <w:szCs w:val="22"/>
        </w:rPr>
        <w:t xml:space="preserve">que contribuye a equilibrar la </w:t>
      </w:r>
      <w:proofErr w:type="spellStart"/>
      <w:r w:rsidRPr="00CF3C16">
        <w:rPr>
          <w:rFonts w:asciiTheme="minorHAnsi" w:hAnsiTheme="minorHAnsi"/>
          <w:color w:val="000000" w:themeColor="text1"/>
          <w:sz w:val="22"/>
          <w:szCs w:val="22"/>
        </w:rPr>
        <w:t>microbiota</w:t>
      </w:r>
      <w:proofErr w:type="spellEnd"/>
      <w:r w:rsidRPr="00CF3C16">
        <w:rPr>
          <w:rFonts w:asciiTheme="minorHAnsi" w:hAnsiTheme="minorHAnsi"/>
          <w:color w:val="000000" w:themeColor="text1"/>
          <w:sz w:val="22"/>
          <w:szCs w:val="22"/>
        </w:rPr>
        <w:t xml:space="preserve"> alterada de estos pacientes.</w:t>
      </w:r>
    </w:p>
    <w:p w14:paraId="6E352924" w14:textId="0D88BBFF"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 xml:space="preserve">¿Por qué se incluyeron en este estudio pacientes de 4 a 17 años? ¿Se podría utilizar esta mezcla de cepas </w:t>
      </w:r>
      <w:proofErr w:type="spellStart"/>
      <w:r w:rsidRPr="00CF3C16">
        <w:rPr>
          <w:rFonts w:asciiTheme="minorHAnsi" w:hAnsiTheme="minorHAnsi"/>
          <w:b/>
          <w:bCs/>
          <w:color w:val="000000" w:themeColor="text1"/>
          <w:sz w:val="22"/>
          <w:szCs w:val="22"/>
        </w:rPr>
        <w:t>probióticas</w:t>
      </w:r>
      <w:proofErr w:type="spellEnd"/>
      <w:r w:rsidRPr="00CF3C16">
        <w:rPr>
          <w:rFonts w:asciiTheme="minorHAnsi" w:hAnsiTheme="minorHAnsi"/>
          <w:b/>
          <w:bCs/>
          <w:color w:val="000000" w:themeColor="text1"/>
          <w:sz w:val="22"/>
          <w:szCs w:val="22"/>
        </w:rPr>
        <w:t xml:space="preserve"> en otros grupos de edad?</w:t>
      </w:r>
    </w:p>
    <w:p w14:paraId="0878353B"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b/>
          <w:bCs/>
          <w:color w:val="000000" w:themeColor="text1"/>
          <w:sz w:val="22"/>
          <w:szCs w:val="22"/>
        </w:rPr>
        <w:t>Se puso cierta limitación al rango de edad de los pacientes a incluir en el estudio con el objetivo de homogeneizar en lo posible los grupos de intervención</w:t>
      </w:r>
      <w:r w:rsidRPr="00CF3C16">
        <w:rPr>
          <w:rFonts w:asciiTheme="minorHAnsi" w:hAnsiTheme="minorHAnsi"/>
          <w:color w:val="000000" w:themeColor="text1"/>
          <w:sz w:val="22"/>
          <w:szCs w:val="22"/>
        </w:rPr>
        <w:t xml:space="preserve">, sin </w:t>
      </w:r>
      <w:proofErr w:type="gramStart"/>
      <w:r w:rsidRPr="00CF3C16">
        <w:rPr>
          <w:rFonts w:asciiTheme="minorHAnsi" w:hAnsiTheme="minorHAnsi"/>
          <w:color w:val="000000" w:themeColor="text1"/>
          <w:sz w:val="22"/>
          <w:szCs w:val="22"/>
        </w:rPr>
        <w:t>embargo</w:t>
      </w:r>
      <w:proofErr w:type="gramEnd"/>
      <w:r w:rsidRPr="00CF3C16">
        <w:rPr>
          <w:rFonts w:asciiTheme="minorHAnsi" w:hAnsiTheme="minorHAnsi"/>
          <w:color w:val="000000" w:themeColor="text1"/>
          <w:sz w:val="22"/>
          <w:szCs w:val="22"/>
        </w:rPr>
        <w:t xml:space="preserve"> desde un punto de vista teórico cabe pensar que el beneficio demostrado en los pacientes del estudio puede extenderse a otros rangos de edad y a otros grados de severidad de la enfermedad.</w:t>
      </w:r>
    </w:p>
    <w:p w14:paraId="069EC253" w14:textId="51A0D55E"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¿Por qué se realiza el estudio a 12 semanas?</w:t>
      </w:r>
    </w:p>
    <w:p w14:paraId="13918BE0"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b/>
          <w:bCs/>
          <w:color w:val="000000" w:themeColor="text1"/>
          <w:sz w:val="22"/>
          <w:szCs w:val="22"/>
        </w:rPr>
        <w:t>Esta es una enfermedad que cursa por brotes y por tanto la duración del estudio debería ser suficientemente largo para ver la evolución en la frecuencia de los brotes, además de la intensidad de los mismos.</w:t>
      </w:r>
      <w:r w:rsidRPr="00CF3C16">
        <w:rPr>
          <w:rFonts w:asciiTheme="minorHAnsi" w:hAnsiTheme="minorHAnsi"/>
          <w:color w:val="000000" w:themeColor="text1"/>
          <w:sz w:val="22"/>
          <w:szCs w:val="22"/>
        </w:rPr>
        <w:t xml:space="preserve"> Se consideró que este periodo de estudio sería suficiente para demostrar el beneficio de la utilización de la mezcla </w:t>
      </w:r>
      <w:proofErr w:type="spellStart"/>
      <w:r w:rsidRPr="00CF3C16">
        <w:rPr>
          <w:rFonts w:asciiTheme="minorHAnsi" w:hAnsiTheme="minorHAnsi"/>
          <w:color w:val="000000" w:themeColor="text1"/>
          <w:sz w:val="22"/>
          <w:szCs w:val="22"/>
        </w:rPr>
        <w:t>probiótica</w:t>
      </w:r>
      <w:proofErr w:type="spellEnd"/>
      <w:r w:rsidRPr="00CF3C16">
        <w:rPr>
          <w:rFonts w:asciiTheme="minorHAnsi" w:hAnsiTheme="minorHAnsi"/>
          <w:color w:val="000000" w:themeColor="text1"/>
          <w:sz w:val="22"/>
          <w:szCs w:val="22"/>
        </w:rPr>
        <w:t>.</w:t>
      </w:r>
    </w:p>
    <w:p w14:paraId="51AFB9CF" w14:textId="222645AD"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Style w:val="s1"/>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¿Cuáles son los principales resultados del estudio?</w:t>
      </w:r>
    </w:p>
    <w:p w14:paraId="5D782532"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En cuanto al índice SCORAD:</w:t>
      </w:r>
    </w:p>
    <w:p w14:paraId="6537D7B0"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En el grupo placebo</w:t>
      </w:r>
      <w:r w:rsidRPr="00CF3C16">
        <w:rPr>
          <w:rFonts w:asciiTheme="minorHAnsi" w:hAnsiTheme="minorHAnsi"/>
          <w:color w:val="000000" w:themeColor="text1"/>
          <w:sz w:val="22"/>
          <w:szCs w:val="22"/>
        </w:rPr>
        <w:t xml:space="preserve"> aun partiendo de un índice SCORAD menor que en el grupo </w:t>
      </w:r>
      <w:proofErr w:type="spellStart"/>
      <w:r w:rsidRPr="00CF3C16">
        <w:rPr>
          <w:rFonts w:asciiTheme="minorHAnsi" w:hAnsiTheme="minorHAnsi"/>
          <w:color w:val="000000" w:themeColor="text1"/>
          <w:sz w:val="22"/>
          <w:szCs w:val="22"/>
        </w:rPr>
        <w:t>probiótico</w:t>
      </w:r>
      <w:proofErr w:type="spellEnd"/>
      <w:r w:rsidRPr="00CF3C16">
        <w:rPr>
          <w:rFonts w:asciiTheme="minorHAnsi" w:hAnsiTheme="minorHAnsi"/>
          <w:color w:val="000000" w:themeColor="text1"/>
          <w:sz w:val="22"/>
          <w:szCs w:val="22"/>
        </w:rPr>
        <w:t xml:space="preserve"> al inicio del estudio,</w:t>
      </w:r>
      <w:r w:rsidRPr="00CF3C16">
        <w:rPr>
          <w:rFonts w:asciiTheme="minorHAnsi" w:hAnsiTheme="minorHAnsi"/>
          <w:b/>
          <w:bCs/>
          <w:color w:val="000000" w:themeColor="text1"/>
          <w:sz w:val="22"/>
          <w:szCs w:val="22"/>
        </w:rPr>
        <w:t xml:space="preserve"> tuvo una respuesta con una reducción del índice SCORAD de un 24% con respecto al valor inicial</w:t>
      </w:r>
      <w:r w:rsidRPr="00CF3C16">
        <w:rPr>
          <w:rFonts w:asciiTheme="minorHAnsi" w:hAnsiTheme="minorHAnsi"/>
          <w:color w:val="000000" w:themeColor="text1"/>
          <w:sz w:val="22"/>
          <w:szCs w:val="22"/>
        </w:rPr>
        <w:t xml:space="preserve"> a las 12 semanas de tratamiento.</w:t>
      </w:r>
    </w:p>
    <w:p w14:paraId="2A5A63B0"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 xml:space="preserve">En el grupo </w:t>
      </w:r>
      <w:proofErr w:type="spellStart"/>
      <w:r w:rsidRPr="00CF3C16">
        <w:rPr>
          <w:rFonts w:asciiTheme="minorHAnsi" w:hAnsiTheme="minorHAnsi"/>
          <w:b/>
          <w:bCs/>
          <w:color w:val="000000" w:themeColor="text1"/>
          <w:sz w:val="22"/>
          <w:szCs w:val="22"/>
        </w:rPr>
        <w:t>probiótico</w:t>
      </w:r>
      <w:proofErr w:type="spellEnd"/>
      <w:r w:rsidRPr="00CF3C16">
        <w:rPr>
          <w:rFonts w:asciiTheme="minorHAnsi" w:hAnsiTheme="minorHAnsi"/>
          <w:color w:val="000000" w:themeColor="text1"/>
          <w:sz w:val="22"/>
          <w:szCs w:val="22"/>
        </w:rPr>
        <w:t xml:space="preserve">, partiendo de un índice SCORAD mayor que en el grupo placebo, </w:t>
      </w:r>
      <w:r w:rsidRPr="00CF3C16">
        <w:rPr>
          <w:rFonts w:asciiTheme="minorHAnsi" w:hAnsiTheme="minorHAnsi"/>
          <w:b/>
          <w:bCs/>
          <w:color w:val="000000" w:themeColor="text1"/>
          <w:sz w:val="22"/>
          <w:szCs w:val="22"/>
        </w:rPr>
        <w:t>se redujo el índice SCORAD en un 83%</w:t>
      </w:r>
      <w:r w:rsidRPr="00CF3C16">
        <w:rPr>
          <w:rFonts w:asciiTheme="minorHAnsi" w:hAnsiTheme="minorHAnsi"/>
          <w:color w:val="000000" w:themeColor="text1"/>
          <w:sz w:val="22"/>
          <w:szCs w:val="22"/>
        </w:rPr>
        <w:t xml:space="preserve"> a las 12 semanas de tratamiento.</w:t>
      </w:r>
    </w:p>
    <w:p w14:paraId="68AF2E3A"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En cuanto a la intensidad y la extensión del eczema podemos comprobar cómo en el grupo </w:t>
      </w:r>
      <w:proofErr w:type="spellStart"/>
      <w:r w:rsidRPr="00CF3C16">
        <w:rPr>
          <w:rFonts w:asciiTheme="minorHAnsi" w:hAnsiTheme="minorHAnsi"/>
          <w:color w:val="000000" w:themeColor="text1"/>
          <w:sz w:val="22"/>
          <w:szCs w:val="22"/>
        </w:rPr>
        <w:t>probiótico</w:t>
      </w:r>
      <w:proofErr w:type="spellEnd"/>
      <w:r w:rsidRPr="00CF3C16">
        <w:rPr>
          <w:rFonts w:asciiTheme="minorHAnsi" w:hAnsiTheme="minorHAnsi"/>
          <w:color w:val="000000" w:themeColor="text1"/>
          <w:sz w:val="22"/>
          <w:szCs w:val="22"/>
        </w:rPr>
        <w:t xml:space="preserve"> tuvo reducciones más significativas que en el grupo placebo.</w:t>
      </w:r>
    </w:p>
    <w:p w14:paraId="238D585D"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lastRenderedPageBreak/>
        <w:t>Y, por último, en cuanto al uso de corticoides tópicos:</w:t>
      </w:r>
    </w:p>
    <w:p w14:paraId="0083B3D7"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En el grupo placebo, de los 2.032 días posibles de exposición a corticoide, se utilizaron 220 días durante los brotes</w:t>
      </w:r>
      <w:r w:rsidRPr="00CF3C16">
        <w:rPr>
          <w:rFonts w:asciiTheme="minorHAnsi" w:hAnsiTheme="minorHAnsi"/>
          <w:color w:val="000000" w:themeColor="text1"/>
          <w:sz w:val="22"/>
          <w:szCs w:val="22"/>
        </w:rPr>
        <w:t>, tomando como definición de brote la necesidad de utilización de corticoide tópico durante tres días consecutivos.</w:t>
      </w:r>
    </w:p>
    <w:p w14:paraId="57970097"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Style w:val="s3"/>
          <w:rFonts w:asciiTheme="minorHAnsi" w:hAnsiTheme="minorHAnsi"/>
          <w:b/>
          <w:bCs/>
          <w:color w:val="000000" w:themeColor="text1"/>
          <w:sz w:val="22"/>
          <w:szCs w:val="22"/>
        </w:rPr>
        <w:t xml:space="preserve">En el grupo </w:t>
      </w:r>
      <w:proofErr w:type="spellStart"/>
      <w:r w:rsidRPr="00CF3C16">
        <w:rPr>
          <w:rStyle w:val="s3"/>
          <w:rFonts w:asciiTheme="minorHAnsi" w:hAnsiTheme="minorHAnsi"/>
          <w:b/>
          <w:bCs/>
          <w:color w:val="000000" w:themeColor="text1"/>
          <w:sz w:val="22"/>
          <w:szCs w:val="22"/>
        </w:rPr>
        <w:t>probiótico</w:t>
      </w:r>
      <w:proofErr w:type="spellEnd"/>
      <w:r w:rsidRPr="00CF3C16">
        <w:rPr>
          <w:rStyle w:val="s3"/>
          <w:rFonts w:asciiTheme="minorHAnsi" w:hAnsiTheme="minorHAnsi"/>
          <w:b/>
          <w:bCs/>
          <w:color w:val="000000" w:themeColor="text1"/>
          <w:sz w:val="22"/>
          <w:szCs w:val="22"/>
        </w:rPr>
        <w:t>, de los 2.084 días posibles de exposición a corticoide, se utilizaron 161 días.</w:t>
      </w:r>
    </w:p>
    <w:p w14:paraId="56FE979E"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Por tanto, </w:t>
      </w:r>
      <w:r w:rsidRPr="00CF3C16">
        <w:rPr>
          <w:rFonts w:asciiTheme="minorHAnsi" w:hAnsiTheme="minorHAnsi"/>
          <w:b/>
          <w:bCs/>
          <w:color w:val="000000" w:themeColor="text1"/>
          <w:sz w:val="22"/>
          <w:szCs w:val="22"/>
        </w:rPr>
        <w:t>se demostró una reducción estadísticamente significativa en la intensidad y duración de los brotes de dermatitis atópica y una reducción de la extensión e intensidad del eczema, además de la reducción en el uso de corticoides.</w:t>
      </w:r>
    </w:p>
    <w:p w14:paraId="000B69E2"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b/>
          <w:bCs/>
          <w:color w:val="000000" w:themeColor="text1"/>
          <w:sz w:val="22"/>
          <w:szCs w:val="22"/>
        </w:rPr>
        <w:t xml:space="preserve">La aparición de brotes prácticamente cesó a mitad de estudio en el grupo de pacientes que estaban siendo tratados con la mezcla de cepas </w:t>
      </w:r>
      <w:proofErr w:type="spellStart"/>
      <w:r w:rsidRPr="00CF3C16">
        <w:rPr>
          <w:rFonts w:asciiTheme="minorHAnsi" w:hAnsiTheme="minorHAnsi"/>
          <w:b/>
          <w:bCs/>
          <w:color w:val="000000" w:themeColor="text1"/>
          <w:sz w:val="22"/>
          <w:szCs w:val="22"/>
        </w:rPr>
        <w:t>probióticas</w:t>
      </w:r>
      <w:proofErr w:type="spellEnd"/>
      <w:r w:rsidRPr="00CF3C16">
        <w:rPr>
          <w:rFonts w:asciiTheme="minorHAnsi" w:hAnsiTheme="minorHAnsi"/>
          <w:color w:val="000000" w:themeColor="text1"/>
          <w:sz w:val="22"/>
          <w:szCs w:val="22"/>
        </w:rPr>
        <w:t>, lo que se tradujo en una reducción drástica en el uso de corticoides en la segunda mitad del estudio.</w:t>
      </w:r>
    </w:p>
    <w:p w14:paraId="50E9C2A4"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Es interesante destacar, que </w:t>
      </w:r>
      <w:r w:rsidRPr="00CF3C16">
        <w:rPr>
          <w:rFonts w:asciiTheme="minorHAnsi" w:hAnsiTheme="minorHAnsi"/>
          <w:b/>
          <w:bCs/>
          <w:color w:val="000000" w:themeColor="text1"/>
          <w:sz w:val="22"/>
          <w:szCs w:val="22"/>
        </w:rPr>
        <w:t xml:space="preserve">a partir de la mitad del estudio en el grupo </w:t>
      </w:r>
      <w:proofErr w:type="spellStart"/>
      <w:r w:rsidRPr="00CF3C16">
        <w:rPr>
          <w:rFonts w:asciiTheme="minorHAnsi" w:hAnsiTheme="minorHAnsi"/>
          <w:b/>
          <w:bCs/>
          <w:color w:val="000000" w:themeColor="text1"/>
          <w:sz w:val="22"/>
          <w:szCs w:val="22"/>
        </w:rPr>
        <w:t>probiótico</w:t>
      </w:r>
      <w:proofErr w:type="spellEnd"/>
      <w:r w:rsidRPr="00CF3C16">
        <w:rPr>
          <w:rFonts w:asciiTheme="minorHAnsi" w:hAnsiTheme="minorHAnsi"/>
          <w:b/>
          <w:bCs/>
          <w:color w:val="000000" w:themeColor="text1"/>
          <w:sz w:val="22"/>
          <w:szCs w:val="22"/>
        </w:rPr>
        <w:t xml:space="preserve"> los pacientes dejan de usar corticoides tópicos y si, además, lo relacionamos con el índice SCORAD, a pesar de no utilizar corticoides tópicos a partir de la mitad del estudio las reducciones del índice SCORAD son mayores que respecto al grupo placebo</w:t>
      </w:r>
      <w:r w:rsidRPr="00CF3C16">
        <w:rPr>
          <w:rFonts w:asciiTheme="minorHAnsi" w:hAnsiTheme="minorHAnsi"/>
          <w:color w:val="000000" w:themeColor="text1"/>
          <w:sz w:val="22"/>
          <w:szCs w:val="22"/>
        </w:rPr>
        <w:t xml:space="preserve"> que seguía con el tratamiento estándar completo.</w:t>
      </w:r>
    </w:p>
    <w:p w14:paraId="32DCE89E" w14:textId="5E51DD31"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¿Se utilizó otro índice para medir la actividad y demostrar por tanto su concordancia?</w:t>
      </w:r>
    </w:p>
    <w:p w14:paraId="5FD4D11C"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Se utilizó además el índice IGA (escala de evaluación global del investigador) para medir la actividad y documentar la concordancia entre el índice SCORAD y el índice IGA. Se hizo una división en dos grupos separando a los pacientes en un grupo en el que se incluían los pacientes con respuesta al tratamiento y clasificados como aclarado-casi aclarado mientras que el resto de pacientes se incluyeron para el análisis en un segundo grupo de enfermos con menor respuesta tras la intervención. Hay que recordar que al inicio del estudio ningún paciente se encontraba en el grupo aclarado-casi aclarado porque se trataba de pacientes que presentaban </w:t>
      </w:r>
      <w:proofErr w:type="gramStart"/>
      <w:r w:rsidRPr="00CF3C16">
        <w:rPr>
          <w:rFonts w:asciiTheme="minorHAnsi" w:hAnsiTheme="minorHAnsi"/>
          <w:color w:val="000000" w:themeColor="text1"/>
          <w:sz w:val="22"/>
          <w:szCs w:val="22"/>
        </w:rPr>
        <w:t>una</w:t>
      </w:r>
      <w:r w:rsidRPr="00CF3C16">
        <w:rPr>
          <w:rStyle w:val="apple-converted-space"/>
          <w:rFonts w:asciiTheme="minorHAnsi" w:hAnsiTheme="minorHAnsi"/>
          <w:color w:val="000000" w:themeColor="text1"/>
          <w:sz w:val="22"/>
          <w:szCs w:val="22"/>
        </w:rPr>
        <w:t xml:space="preserve">  </w:t>
      </w:r>
      <w:r w:rsidRPr="00CF3C16">
        <w:rPr>
          <w:rFonts w:asciiTheme="minorHAnsi" w:hAnsiTheme="minorHAnsi"/>
          <w:color w:val="000000" w:themeColor="text1"/>
          <w:sz w:val="22"/>
          <w:szCs w:val="22"/>
        </w:rPr>
        <w:t>DA</w:t>
      </w:r>
      <w:proofErr w:type="gramEnd"/>
      <w:r w:rsidRPr="00CF3C16">
        <w:rPr>
          <w:rFonts w:asciiTheme="minorHAnsi" w:hAnsiTheme="minorHAnsi"/>
          <w:color w:val="000000" w:themeColor="text1"/>
          <w:sz w:val="22"/>
          <w:szCs w:val="22"/>
        </w:rPr>
        <w:t xml:space="preserve"> moderada. </w:t>
      </w:r>
      <w:r w:rsidRPr="00CF3C16">
        <w:rPr>
          <w:rFonts w:asciiTheme="minorHAnsi" w:hAnsiTheme="minorHAnsi"/>
          <w:b/>
          <w:bCs/>
          <w:color w:val="000000" w:themeColor="text1"/>
          <w:sz w:val="22"/>
          <w:szCs w:val="22"/>
        </w:rPr>
        <w:t>Los resultados en la evaluación a las 8 semanas fueron de:</w:t>
      </w:r>
    </w:p>
    <w:p w14:paraId="0267059A"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 xml:space="preserve">En el grupo placebo un 10% de los pacientes estaban en el grupo aclarado-casi aclarado frente al 70% de los pacientes en el grupo del </w:t>
      </w:r>
      <w:proofErr w:type="spellStart"/>
      <w:r w:rsidRPr="00CF3C16">
        <w:rPr>
          <w:rFonts w:asciiTheme="minorHAnsi" w:hAnsiTheme="minorHAnsi"/>
          <w:b/>
          <w:bCs/>
          <w:color w:val="000000" w:themeColor="text1"/>
          <w:sz w:val="22"/>
          <w:szCs w:val="22"/>
        </w:rPr>
        <w:t>probiótico</w:t>
      </w:r>
      <w:proofErr w:type="spellEnd"/>
      <w:r w:rsidRPr="00CF3C16">
        <w:rPr>
          <w:rFonts w:asciiTheme="minorHAnsi" w:hAnsiTheme="minorHAnsi"/>
          <w:b/>
          <w:bCs/>
          <w:color w:val="000000" w:themeColor="text1"/>
          <w:sz w:val="22"/>
          <w:szCs w:val="22"/>
        </w:rPr>
        <w:t>.</w:t>
      </w:r>
    </w:p>
    <w:p w14:paraId="454EA409" w14:textId="77777777" w:rsidR="00CF3C16" w:rsidRPr="00CF3C16" w:rsidRDefault="00CF3C16" w:rsidP="00CF3C16">
      <w:pPr>
        <w:pStyle w:val="p5"/>
        <w:ind w:left="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Cuando esta evaluación se hizo </w:t>
      </w:r>
      <w:r w:rsidRPr="00CF3C16">
        <w:rPr>
          <w:rFonts w:asciiTheme="minorHAnsi" w:hAnsiTheme="minorHAnsi"/>
          <w:b/>
          <w:bCs/>
          <w:color w:val="000000" w:themeColor="text1"/>
          <w:sz w:val="22"/>
          <w:szCs w:val="22"/>
        </w:rPr>
        <w:t>a las 12 semanas (final del tratamiento)</w:t>
      </w:r>
      <w:r w:rsidRPr="00CF3C16">
        <w:rPr>
          <w:rFonts w:asciiTheme="minorHAnsi" w:hAnsiTheme="minorHAnsi"/>
          <w:color w:val="000000" w:themeColor="text1"/>
          <w:sz w:val="22"/>
          <w:szCs w:val="22"/>
        </w:rPr>
        <w:t>:</w:t>
      </w:r>
    </w:p>
    <w:p w14:paraId="74F7C4DC" w14:textId="77777777" w:rsidR="00CF3C16" w:rsidRPr="00CF3C16" w:rsidRDefault="00CF3C16" w:rsidP="00CF3C16">
      <w:pPr>
        <w:pStyle w:val="p3"/>
        <w:ind w:left="0" w:firstLine="0"/>
        <w:rPr>
          <w:rFonts w:asciiTheme="minorHAnsi" w:hAnsiTheme="minorHAnsi"/>
          <w:color w:val="000000" w:themeColor="text1"/>
          <w:sz w:val="22"/>
          <w:szCs w:val="22"/>
        </w:rPr>
      </w:pPr>
      <w:r w:rsidRPr="00CF3C16">
        <w:rPr>
          <w:rStyle w:val="s1"/>
          <w:rFonts w:asciiTheme="minorHAnsi" w:hAnsiTheme="minorHAnsi"/>
          <w:color w:val="000000" w:themeColor="text1"/>
          <w:sz w:val="22"/>
          <w:szCs w:val="22"/>
        </w:rPr>
        <w:t>•</w:t>
      </w:r>
      <w:r w:rsidRPr="00CF3C16">
        <w:rPr>
          <w:rStyle w:val="apple-tab-span"/>
          <w:rFonts w:asciiTheme="minorHAnsi" w:hAnsiTheme="minorHAnsi"/>
          <w:color w:val="000000" w:themeColor="text1"/>
          <w:sz w:val="22"/>
          <w:szCs w:val="22"/>
        </w:rPr>
        <w:tab/>
      </w:r>
      <w:r w:rsidRPr="00CF3C16">
        <w:rPr>
          <w:rFonts w:asciiTheme="minorHAnsi" w:hAnsiTheme="minorHAnsi"/>
          <w:b/>
          <w:bCs/>
          <w:color w:val="000000" w:themeColor="text1"/>
          <w:sz w:val="22"/>
          <w:szCs w:val="22"/>
        </w:rPr>
        <w:t xml:space="preserve">En el grupo placebo un 20% de los pacientes estaban en el grupo aclarado-casi aclarado frente al 90% de los pacientes en el grupo del </w:t>
      </w:r>
      <w:proofErr w:type="spellStart"/>
      <w:r w:rsidRPr="00CF3C16">
        <w:rPr>
          <w:rFonts w:asciiTheme="minorHAnsi" w:hAnsiTheme="minorHAnsi"/>
          <w:b/>
          <w:bCs/>
          <w:color w:val="000000" w:themeColor="text1"/>
          <w:sz w:val="22"/>
          <w:szCs w:val="22"/>
        </w:rPr>
        <w:t>probiótico</w:t>
      </w:r>
      <w:proofErr w:type="spellEnd"/>
      <w:r w:rsidRPr="00CF3C16">
        <w:rPr>
          <w:rFonts w:asciiTheme="minorHAnsi" w:hAnsiTheme="minorHAnsi"/>
          <w:b/>
          <w:bCs/>
          <w:color w:val="000000" w:themeColor="text1"/>
          <w:sz w:val="22"/>
          <w:szCs w:val="22"/>
        </w:rPr>
        <w:t>.</w:t>
      </w:r>
    </w:p>
    <w:p w14:paraId="604829BA" w14:textId="77777777" w:rsidR="00CF3C16" w:rsidRPr="00CF3C16" w:rsidRDefault="00CF3C16" w:rsidP="00CF3C16">
      <w:pPr>
        <w:pStyle w:val="p4"/>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Esto nos indica que los resultados son similares y concordantes con los resultados conseguidos mediante la utilización del índice SCORAD.</w:t>
      </w:r>
    </w:p>
    <w:p w14:paraId="4B759D83" w14:textId="24071DA9" w:rsidR="00CF3C16" w:rsidRPr="00CF3C16" w:rsidRDefault="00CF3C16" w:rsidP="00CF3C16">
      <w:pPr>
        <w:pStyle w:val="p1"/>
        <w:ind w:left="0" w:firstLine="0"/>
        <w:rPr>
          <w:rFonts w:asciiTheme="minorHAnsi" w:hAnsiTheme="minorHAnsi"/>
          <w:color w:val="000000" w:themeColor="text1"/>
          <w:sz w:val="22"/>
          <w:szCs w:val="22"/>
        </w:rPr>
      </w:pPr>
      <w:r w:rsidRPr="00CF3C16">
        <w:rPr>
          <w:rStyle w:val="s1"/>
          <w:rFonts w:asciiTheme="minorHAnsi" w:hAnsiTheme="minorHAnsi"/>
          <w:b/>
          <w:bCs/>
          <w:color w:val="548DD4" w:themeColor="text2" w:themeTint="99"/>
          <w:sz w:val="22"/>
          <w:szCs w:val="22"/>
        </w:rPr>
        <w:t>P:</w:t>
      </w:r>
      <w:r w:rsidRPr="00CF3C16">
        <w:rPr>
          <w:rFonts w:asciiTheme="minorHAnsi" w:hAnsiTheme="minorHAnsi"/>
          <w:b/>
          <w:bCs/>
          <w:color w:val="548DD4" w:themeColor="text2" w:themeTint="99"/>
          <w:sz w:val="22"/>
          <w:szCs w:val="22"/>
        </w:rPr>
        <w:t xml:space="preserve"> </w:t>
      </w:r>
      <w:r w:rsidRPr="00CF3C16">
        <w:rPr>
          <w:rFonts w:asciiTheme="minorHAnsi" w:hAnsiTheme="minorHAnsi"/>
          <w:b/>
          <w:bCs/>
          <w:color w:val="000000" w:themeColor="text1"/>
          <w:sz w:val="22"/>
          <w:szCs w:val="22"/>
        </w:rPr>
        <w:t>Principales conclusiones y aplicaciones</w:t>
      </w:r>
    </w:p>
    <w:p w14:paraId="7A28755D" w14:textId="77777777" w:rsidR="00CF3C16" w:rsidRPr="00CF3C16" w:rsidRDefault="00CF3C16" w:rsidP="00CF3C16">
      <w:pPr>
        <w:pStyle w:val="p2"/>
        <w:ind w:firstLine="0"/>
        <w:rPr>
          <w:rFonts w:asciiTheme="minorHAnsi" w:hAnsiTheme="minorHAnsi"/>
          <w:color w:val="000000" w:themeColor="text1"/>
          <w:sz w:val="22"/>
          <w:szCs w:val="22"/>
        </w:rPr>
      </w:pPr>
      <w:r w:rsidRPr="00CF3C16">
        <w:rPr>
          <w:rFonts w:asciiTheme="minorHAnsi" w:hAnsiTheme="minorHAnsi"/>
          <w:color w:val="000000" w:themeColor="text1"/>
          <w:sz w:val="22"/>
          <w:szCs w:val="22"/>
        </w:rPr>
        <w:t xml:space="preserve">La mezcla </w:t>
      </w:r>
      <w:proofErr w:type="spellStart"/>
      <w:r w:rsidRPr="00CF3C16">
        <w:rPr>
          <w:rFonts w:asciiTheme="minorHAnsi" w:hAnsiTheme="minorHAnsi"/>
          <w:color w:val="000000" w:themeColor="text1"/>
          <w:sz w:val="22"/>
          <w:szCs w:val="22"/>
        </w:rPr>
        <w:t>probiótica</w:t>
      </w:r>
      <w:proofErr w:type="spellEnd"/>
      <w:r w:rsidRPr="00CF3C16">
        <w:rPr>
          <w:rFonts w:asciiTheme="minorHAnsi" w:hAnsiTheme="minorHAnsi"/>
          <w:color w:val="000000" w:themeColor="text1"/>
          <w:sz w:val="22"/>
          <w:szCs w:val="22"/>
        </w:rPr>
        <w:t xml:space="preserve"> utilizada en este estudio de </w:t>
      </w:r>
      <w:proofErr w:type="spellStart"/>
      <w:r w:rsidRPr="00CF3C16">
        <w:rPr>
          <w:rFonts w:asciiTheme="minorHAnsi" w:hAnsiTheme="minorHAnsi"/>
          <w:b/>
          <w:bCs/>
          <w:i/>
          <w:iCs/>
          <w:color w:val="000000" w:themeColor="text1"/>
          <w:sz w:val="22"/>
          <w:szCs w:val="22"/>
        </w:rPr>
        <w:t>Bifidobacterium</w:t>
      </w:r>
      <w:proofErr w:type="spellEnd"/>
      <w:r w:rsidRPr="00CF3C16">
        <w:rPr>
          <w:rFonts w:asciiTheme="minorHAnsi" w:hAnsiTheme="minorHAnsi"/>
          <w:b/>
          <w:bCs/>
          <w:i/>
          <w:iCs/>
          <w:color w:val="000000" w:themeColor="text1"/>
          <w:sz w:val="22"/>
          <w:szCs w:val="22"/>
        </w:rPr>
        <w:t xml:space="preserve"> </w:t>
      </w:r>
      <w:proofErr w:type="spellStart"/>
      <w:r w:rsidRPr="00CF3C16">
        <w:rPr>
          <w:rFonts w:asciiTheme="minorHAnsi" w:hAnsiTheme="minorHAnsi"/>
          <w:b/>
          <w:bCs/>
          <w:i/>
          <w:iCs/>
          <w:color w:val="000000" w:themeColor="text1"/>
          <w:sz w:val="22"/>
          <w:szCs w:val="22"/>
        </w:rPr>
        <w:t>lactis</w:t>
      </w:r>
      <w:proofErr w:type="spellEnd"/>
      <w:r w:rsidRPr="00CF3C16">
        <w:rPr>
          <w:rFonts w:asciiTheme="minorHAnsi" w:hAnsiTheme="minorHAnsi"/>
          <w:color w:val="000000" w:themeColor="text1"/>
          <w:sz w:val="22"/>
          <w:szCs w:val="22"/>
        </w:rPr>
        <w:t xml:space="preserve"> </w:t>
      </w:r>
      <w:r w:rsidRPr="00CF3C16">
        <w:rPr>
          <w:rFonts w:asciiTheme="minorHAnsi" w:hAnsiTheme="minorHAnsi"/>
          <w:b/>
          <w:bCs/>
          <w:color w:val="000000" w:themeColor="text1"/>
          <w:sz w:val="22"/>
          <w:szCs w:val="22"/>
        </w:rPr>
        <w:t>CECT 8145</w:t>
      </w:r>
      <w:r w:rsidRPr="00CF3C16">
        <w:rPr>
          <w:rFonts w:asciiTheme="minorHAnsi" w:hAnsiTheme="minorHAnsi"/>
          <w:color w:val="000000" w:themeColor="text1"/>
          <w:sz w:val="22"/>
          <w:szCs w:val="22"/>
        </w:rPr>
        <w:t xml:space="preserve">, </w:t>
      </w:r>
      <w:r w:rsidRPr="00CF3C16">
        <w:rPr>
          <w:rFonts w:asciiTheme="minorHAnsi" w:hAnsiTheme="minorHAnsi"/>
          <w:color w:val="000000" w:themeColor="text1"/>
          <w:sz w:val="22"/>
          <w:szCs w:val="22"/>
        </w:rPr>
        <w:br/>
      </w:r>
      <w:proofErr w:type="spellStart"/>
      <w:r w:rsidRPr="00CF3C16">
        <w:rPr>
          <w:rFonts w:asciiTheme="minorHAnsi" w:hAnsiTheme="minorHAnsi"/>
          <w:b/>
          <w:bCs/>
          <w:i/>
          <w:iCs/>
          <w:color w:val="000000" w:themeColor="text1"/>
          <w:sz w:val="22"/>
          <w:szCs w:val="22"/>
        </w:rPr>
        <w:t>Bifidobacterium</w:t>
      </w:r>
      <w:proofErr w:type="spellEnd"/>
      <w:r w:rsidRPr="00CF3C16">
        <w:rPr>
          <w:rFonts w:asciiTheme="minorHAnsi" w:hAnsiTheme="minorHAnsi"/>
          <w:b/>
          <w:bCs/>
          <w:i/>
          <w:iCs/>
          <w:color w:val="000000" w:themeColor="text1"/>
          <w:sz w:val="22"/>
          <w:szCs w:val="22"/>
        </w:rPr>
        <w:t xml:space="preserve"> </w:t>
      </w:r>
      <w:proofErr w:type="spellStart"/>
      <w:r w:rsidRPr="00CF3C16">
        <w:rPr>
          <w:rFonts w:asciiTheme="minorHAnsi" w:hAnsiTheme="minorHAnsi"/>
          <w:b/>
          <w:bCs/>
          <w:i/>
          <w:iCs/>
          <w:color w:val="000000" w:themeColor="text1"/>
          <w:sz w:val="22"/>
          <w:szCs w:val="22"/>
        </w:rPr>
        <w:t>longum</w:t>
      </w:r>
      <w:proofErr w:type="spellEnd"/>
      <w:r w:rsidRPr="00CF3C16">
        <w:rPr>
          <w:rFonts w:asciiTheme="minorHAnsi" w:hAnsiTheme="minorHAnsi"/>
          <w:b/>
          <w:bCs/>
          <w:color w:val="000000" w:themeColor="text1"/>
          <w:sz w:val="22"/>
          <w:szCs w:val="22"/>
        </w:rPr>
        <w:t xml:space="preserve"> CECT 7347</w:t>
      </w:r>
      <w:r w:rsidRPr="00CF3C16">
        <w:rPr>
          <w:rFonts w:asciiTheme="minorHAnsi" w:hAnsiTheme="minorHAnsi"/>
          <w:color w:val="000000" w:themeColor="text1"/>
          <w:sz w:val="22"/>
          <w:szCs w:val="22"/>
        </w:rPr>
        <w:t xml:space="preserve"> y </w:t>
      </w:r>
      <w:proofErr w:type="spellStart"/>
      <w:r w:rsidRPr="00CF3C16">
        <w:rPr>
          <w:rFonts w:asciiTheme="minorHAnsi" w:hAnsiTheme="minorHAnsi"/>
          <w:b/>
          <w:bCs/>
          <w:i/>
          <w:iCs/>
          <w:color w:val="000000" w:themeColor="text1"/>
          <w:sz w:val="22"/>
          <w:szCs w:val="22"/>
        </w:rPr>
        <w:t>Lactobacillus</w:t>
      </w:r>
      <w:proofErr w:type="spellEnd"/>
      <w:r w:rsidRPr="00CF3C16">
        <w:rPr>
          <w:rFonts w:asciiTheme="minorHAnsi" w:hAnsiTheme="minorHAnsi"/>
          <w:b/>
          <w:bCs/>
          <w:i/>
          <w:iCs/>
          <w:color w:val="000000" w:themeColor="text1"/>
          <w:sz w:val="22"/>
          <w:szCs w:val="22"/>
        </w:rPr>
        <w:t xml:space="preserve"> </w:t>
      </w:r>
      <w:proofErr w:type="spellStart"/>
      <w:r w:rsidRPr="00CF3C16">
        <w:rPr>
          <w:rFonts w:asciiTheme="minorHAnsi" w:hAnsiTheme="minorHAnsi"/>
          <w:b/>
          <w:bCs/>
          <w:i/>
          <w:iCs/>
          <w:color w:val="000000" w:themeColor="text1"/>
          <w:sz w:val="22"/>
          <w:szCs w:val="22"/>
        </w:rPr>
        <w:t>casei</w:t>
      </w:r>
      <w:proofErr w:type="spellEnd"/>
      <w:r w:rsidRPr="00CF3C16">
        <w:rPr>
          <w:rFonts w:asciiTheme="minorHAnsi" w:hAnsiTheme="minorHAnsi"/>
          <w:b/>
          <w:bCs/>
          <w:i/>
          <w:iCs/>
          <w:color w:val="000000" w:themeColor="text1"/>
          <w:sz w:val="22"/>
          <w:szCs w:val="22"/>
        </w:rPr>
        <w:t xml:space="preserve"> </w:t>
      </w:r>
      <w:r w:rsidRPr="00CF3C16">
        <w:rPr>
          <w:rFonts w:asciiTheme="minorHAnsi" w:hAnsiTheme="minorHAnsi"/>
          <w:b/>
          <w:bCs/>
          <w:color w:val="000000" w:themeColor="text1"/>
          <w:sz w:val="22"/>
          <w:szCs w:val="22"/>
        </w:rPr>
        <w:t>CECT 9104 se demostró eficaz en el tratamiento de la dermatitis atópica moderada reduciendo la intensidad y duración de los brotes, la extensión e intensidad del eczema y el uso de corticoides tópicos.</w:t>
      </w:r>
    </w:p>
    <w:p w14:paraId="1351E8EE" w14:textId="77777777" w:rsidR="00D61F7A" w:rsidRPr="00CF3C16" w:rsidRDefault="00D61F7A" w:rsidP="00CF3C16">
      <w:pPr>
        <w:spacing w:after="0"/>
        <w:jc w:val="both"/>
        <w:rPr>
          <w:color w:val="000000" w:themeColor="text1"/>
          <w:lang w:val="es-ES_tradnl"/>
        </w:rPr>
      </w:pPr>
    </w:p>
    <w:sectPr w:rsidR="00D61F7A" w:rsidRPr="00CF3C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357C" w14:textId="77777777" w:rsidR="00593255" w:rsidRDefault="00593255" w:rsidP="004A715D">
      <w:pPr>
        <w:spacing w:after="0" w:line="240" w:lineRule="auto"/>
      </w:pPr>
      <w:r>
        <w:separator/>
      </w:r>
    </w:p>
  </w:endnote>
  <w:endnote w:type="continuationSeparator" w:id="0">
    <w:p w14:paraId="39F31020" w14:textId="77777777" w:rsidR="00593255" w:rsidRDefault="00593255" w:rsidP="004A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rutiger 55 Roman">
    <w:charset w:val="00"/>
    <w:family w:val="auto"/>
    <w:pitch w:val="variable"/>
    <w:sig w:usb0="00000003" w:usb1="00000000" w:usb2="00000000" w:usb3="00000000" w:csb0="00000001" w:csb1="00000000"/>
  </w:font>
  <w:font w:name="Frutiger">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CBA13" w14:textId="77777777" w:rsidR="00593255" w:rsidRDefault="00593255" w:rsidP="004A715D">
      <w:pPr>
        <w:spacing w:after="0" w:line="240" w:lineRule="auto"/>
      </w:pPr>
      <w:r>
        <w:separator/>
      </w:r>
    </w:p>
  </w:footnote>
  <w:footnote w:type="continuationSeparator" w:id="0">
    <w:p w14:paraId="5E9F5BEC" w14:textId="77777777" w:rsidR="00593255" w:rsidRDefault="00593255" w:rsidP="004A71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7548"/>
    <w:multiLevelType w:val="hybridMultilevel"/>
    <w:tmpl w:val="34504810"/>
    <w:lvl w:ilvl="0" w:tplc="F3FCB5C4">
      <w:start w:val="1"/>
      <w:numFmt w:val="bullet"/>
      <w:lvlText w:val=""/>
      <w:lvlJc w:val="left"/>
      <w:pPr>
        <w:tabs>
          <w:tab w:val="num" w:pos="720"/>
        </w:tabs>
        <w:ind w:left="720" w:hanging="360"/>
      </w:pPr>
      <w:rPr>
        <w:rFonts w:ascii="Wingdings" w:hAnsi="Wingdings" w:hint="default"/>
      </w:rPr>
    </w:lvl>
    <w:lvl w:ilvl="1" w:tplc="CD84D9AC" w:tentative="1">
      <w:start w:val="1"/>
      <w:numFmt w:val="bullet"/>
      <w:lvlText w:val=""/>
      <w:lvlJc w:val="left"/>
      <w:pPr>
        <w:tabs>
          <w:tab w:val="num" w:pos="1440"/>
        </w:tabs>
        <w:ind w:left="1440" w:hanging="360"/>
      </w:pPr>
      <w:rPr>
        <w:rFonts w:ascii="Wingdings" w:hAnsi="Wingdings" w:hint="default"/>
      </w:rPr>
    </w:lvl>
    <w:lvl w:ilvl="2" w:tplc="529C7B5A" w:tentative="1">
      <w:start w:val="1"/>
      <w:numFmt w:val="bullet"/>
      <w:lvlText w:val=""/>
      <w:lvlJc w:val="left"/>
      <w:pPr>
        <w:tabs>
          <w:tab w:val="num" w:pos="2160"/>
        </w:tabs>
        <w:ind w:left="2160" w:hanging="360"/>
      </w:pPr>
      <w:rPr>
        <w:rFonts w:ascii="Wingdings" w:hAnsi="Wingdings" w:hint="default"/>
      </w:rPr>
    </w:lvl>
    <w:lvl w:ilvl="3" w:tplc="BE0C64A2" w:tentative="1">
      <w:start w:val="1"/>
      <w:numFmt w:val="bullet"/>
      <w:lvlText w:val=""/>
      <w:lvlJc w:val="left"/>
      <w:pPr>
        <w:tabs>
          <w:tab w:val="num" w:pos="2880"/>
        </w:tabs>
        <w:ind w:left="2880" w:hanging="360"/>
      </w:pPr>
      <w:rPr>
        <w:rFonts w:ascii="Wingdings" w:hAnsi="Wingdings" w:hint="default"/>
      </w:rPr>
    </w:lvl>
    <w:lvl w:ilvl="4" w:tplc="263C33E4" w:tentative="1">
      <w:start w:val="1"/>
      <w:numFmt w:val="bullet"/>
      <w:lvlText w:val=""/>
      <w:lvlJc w:val="left"/>
      <w:pPr>
        <w:tabs>
          <w:tab w:val="num" w:pos="3600"/>
        </w:tabs>
        <w:ind w:left="3600" w:hanging="360"/>
      </w:pPr>
      <w:rPr>
        <w:rFonts w:ascii="Wingdings" w:hAnsi="Wingdings" w:hint="default"/>
      </w:rPr>
    </w:lvl>
    <w:lvl w:ilvl="5" w:tplc="067E5B74" w:tentative="1">
      <w:start w:val="1"/>
      <w:numFmt w:val="bullet"/>
      <w:lvlText w:val=""/>
      <w:lvlJc w:val="left"/>
      <w:pPr>
        <w:tabs>
          <w:tab w:val="num" w:pos="4320"/>
        </w:tabs>
        <w:ind w:left="4320" w:hanging="360"/>
      </w:pPr>
      <w:rPr>
        <w:rFonts w:ascii="Wingdings" w:hAnsi="Wingdings" w:hint="default"/>
      </w:rPr>
    </w:lvl>
    <w:lvl w:ilvl="6" w:tplc="D9C605D2" w:tentative="1">
      <w:start w:val="1"/>
      <w:numFmt w:val="bullet"/>
      <w:lvlText w:val=""/>
      <w:lvlJc w:val="left"/>
      <w:pPr>
        <w:tabs>
          <w:tab w:val="num" w:pos="5040"/>
        </w:tabs>
        <w:ind w:left="5040" w:hanging="360"/>
      </w:pPr>
      <w:rPr>
        <w:rFonts w:ascii="Wingdings" w:hAnsi="Wingdings" w:hint="default"/>
      </w:rPr>
    </w:lvl>
    <w:lvl w:ilvl="7" w:tplc="AAEEF6A6" w:tentative="1">
      <w:start w:val="1"/>
      <w:numFmt w:val="bullet"/>
      <w:lvlText w:val=""/>
      <w:lvlJc w:val="left"/>
      <w:pPr>
        <w:tabs>
          <w:tab w:val="num" w:pos="5760"/>
        </w:tabs>
        <w:ind w:left="5760" w:hanging="360"/>
      </w:pPr>
      <w:rPr>
        <w:rFonts w:ascii="Wingdings" w:hAnsi="Wingdings" w:hint="default"/>
      </w:rPr>
    </w:lvl>
    <w:lvl w:ilvl="8" w:tplc="FA9A8914" w:tentative="1">
      <w:start w:val="1"/>
      <w:numFmt w:val="bullet"/>
      <w:lvlText w:val=""/>
      <w:lvlJc w:val="left"/>
      <w:pPr>
        <w:tabs>
          <w:tab w:val="num" w:pos="6480"/>
        </w:tabs>
        <w:ind w:left="6480" w:hanging="360"/>
      </w:pPr>
      <w:rPr>
        <w:rFonts w:ascii="Wingdings" w:hAnsi="Wingdings" w:hint="default"/>
      </w:rPr>
    </w:lvl>
  </w:abstractNum>
  <w:abstractNum w:abstractNumId="1">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1E04F3"/>
    <w:multiLevelType w:val="hybridMultilevel"/>
    <w:tmpl w:val="7A9883E6"/>
    <w:lvl w:ilvl="0" w:tplc="2B2A39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595CC5"/>
    <w:multiLevelType w:val="hybridMultilevel"/>
    <w:tmpl w:val="836415C6"/>
    <w:lvl w:ilvl="0" w:tplc="E87215A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A268BB"/>
    <w:multiLevelType w:val="hybridMultilevel"/>
    <w:tmpl w:val="458C9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B9676E5"/>
    <w:multiLevelType w:val="hybridMultilevel"/>
    <w:tmpl w:val="24B470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7E"/>
    <w:rsid w:val="000017E8"/>
    <w:rsid w:val="00043606"/>
    <w:rsid w:val="00073BDE"/>
    <w:rsid w:val="00140078"/>
    <w:rsid w:val="001B3587"/>
    <w:rsid w:val="001C747F"/>
    <w:rsid w:val="001E462E"/>
    <w:rsid w:val="001F50F8"/>
    <w:rsid w:val="002173B9"/>
    <w:rsid w:val="00265D96"/>
    <w:rsid w:val="002704C2"/>
    <w:rsid w:val="002B4A57"/>
    <w:rsid w:val="002D2E1A"/>
    <w:rsid w:val="002E78D0"/>
    <w:rsid w:val="003A6BC0"/>
    <w:rsid w:val="003D5BC6"/>
    <w:rsid w:val="004A715D"/>
    <w:rsid w:val="004B779E"/>
    <w:rsid w:val="0050642F"/>
    <w:rsid w:val="00593255"/>
    <w:rsid w:val="005B41F1"/>
    <w:rsid w:val="005C3368"/>
    <w:rsid w:val="005C7FA7"/>
    <w:rsid w:val="006365F5"/>
    <w:rsid w:val="00636DCB"/>
    <w:rsid w:val="0068460C"/>
    <w:rsid w:val="006F476B"/>
    <w:rsid w:val="00707225"/>
    <w:rsid w:val="00713369"/>
    <w:rsid w:val="00724766"/>
    <w:rsid w:val="007B64CF"/>
    <w:rsid w:val="00815A71"/>
    <w:rsid w:val="008A377E"/>
    <w:rsid w:val="008B31DA"/>
    <w:rsid w:val="008B7B15"/>
    <w:rsid w:val="009754A2"/>
    <w:rsid w:val="009D5D0D"/>
    <w:rsid w:val="00A91F96"/>
    <w:rsid w:val="00B05E13"/>
    <w:rsid w:val="00B17413"/>
    <w:rsid w:val="00BC1382"/>
    <w:rsid w:val="00BD7897"/>
    <w:rsid w:val="00BF2A60"/>
    <w:rsid w:val="00C021B7"/>
    <w:rsid w:val="00CD45F4"/>
    <w:rsid w:val="00CF3C16"/>
    <w:rsid w:val="00D22560"/>
    <w:rsid w:val="00D308DA"/>
    <w:rsid w:val="00D3326E"/>
    <w:rsid w:val="00D33EFB"/>
    <w:rsid w:val="00D61F7A"/>
    <w:rsid w:val="00E43C0B"/>
    <w:rsid w:val="00E876A9"/>
    <w:rsid w:val="00EE77C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8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7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A377E"/>
    <w:rPr>
      <w:b/>
      <w:bCs/>
    </w:rPr>
  </w:style>
  <w:style w:type="character" w:styleId="nfasis">
    <w:name w:val="Emphasis"/>
    <w:basedOn w:val="Fuentedeprrafopredeter"/>
    <w:uiPriority w:val="20"/>
    <w:qFormat/>
    <w:rsid w:val="008A377E"/>
    <w:rPr>
      <w:i/>
      <w:iCs/>
    </w:rPr>
  </w:style>
  <w:style w:type="paragraph" w:styleId="NormalWeb">
    <w:name w:val="Normal (Web)"/>
    <w:basedOn w:val="Normal"/>
    <w:uiPriority w:val="99"/>
    <w:unhideWhenUsed/>
    <w:rsid w:val="008A377E"/>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4A71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715D"/>
  </w:style>
  <w:style w:type="paragraph" w:styleId="Piedepgina">
    <w:name w:val="footer"/>
    <w:basedOn w:val="Normal"/>
    <w:link w:val="PiedepginaCar"/>
    <w:uiPriority w:val="99"/>
    <w:unhideWhenUsed/>
    <w:rsid w:val="004A71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715D"/>
  </w:style>
  <w:style w:type="paragraph" w:styleId="Textodeglobo">
    <w:name w:val="Balloon Text"/>
    <w:basedOn w:val="Normal"/>
    <w:link w:val="TextodegloboCar"/>
    <w:uiPriority w:val="99"/>
    <w:semiHidden/>
    <w:unhideWhenUsed/>
    <w:rsid w:val="004A7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15D"/>
    <w:rPr>
      <w:rFonts w:ascii="Tahoma" w:hAnsi="Tahoma" w:cs="Tahoma"/>
      <w:sz w:val="16"/>
      <w:szCs w:val="16"/>
    </w:rPr>
  </w:style>
  <w:style w:type="paragraph" w:styleId="Prrafodelista">
    <w:name w:val="List Paragraph"/>
    <w:basedOn w:val="Normal"/>
    <w:uiPriority w:val="34"/>
    <w:qFormat/>
    <w:rsid w:val="0068460C"/>
    <w:pPr>
      <w:ind w:left="720"/>
      <w:contextualSpacing/>
    </w:pPr>
  </w:style>
  <w:style w:type="character" w:customStyle="1" w:styleId="A1">
    <w:name w:val="A1"/>
    <w:uiPriority w:val="99"/>
    <w:rsid w:val="0068460C"/>
    <w:rPr>
      <w:rFonts w:cs="Frutiger 55 Roman"/>
      <w:color w:val="211D1E"/>
      <w:sz w:val="18"/>
      <w:szCs w:val="18"/>
    </w:rPr>
  </w:style>
  <w:style w:type="character" w:styleId="Hipervnculo">
    <w:name w:val="Hyperlink"/>
    <w:basedOn w:val="Fuentedeprrafopredeter"/>
    <w:uiPriority w:val="99"/>
    <w:unhideWhenUsed/>
    <w:rsid w:val="002E78D0"/>
    <w:rPr>
      <w:color w:val="0000FF" w:themeColor="hyperlink"/>
      <w:u w:val="single"/>
    </w:rPr>
  </w:style>
  <w:style w:type="character" w:styleId="Hipervnculovisitado">
    <w:name w:val="FollowedHyperlink"/>
    <w:basedOn w:val="Fuentedeprrafopredeter"/>
    <w:uiPriority w:val="99"/>
    <w:semiHidden/>
    <w:unhideWhenUsed/>
    <w:rsid w:val="002E78D0"/>
    <w:rPr>
      <w:color w:val="800080" w:themeColor="followedHyperlink"/>
      <w:u w:val="single"/>
    </w:rPr>
  </w:style>
  <w:style w:type="paragraph" w:customStyle="1" w:styleId="p1">
    <w:name w:val="p1"/>
    <w:basedOn w:val="Normal"/>
    <w:rsid w:val="00CF3C16"/>
    <w:pPr>
      <w:spacing w:after="86" w:line="240" w:lineRule="auto"/>
      <w:ind w:left="270" w:hanging="270"/>
      <w:jc w:val="both"/>
    </w:pPr>
    <w:rPr>
      <w:rFonts w:ascii="Frutiger" w:hAnsi="Frutiger" w:cs="Times New Roman"/>
      <w:color w:val="0131CB"/>
      <w:sz w:val="21"/>
      <w:szCs w:val="21"/>
      <w:lang w:val="es-ES_tradnl" w:eastAsia="zh-CN"/>
    </w:rPr>
  </w:style>
  <w:style w:type="paragraph" w:customStyle="1" w:styleId="p2">
    <w:name w:val="p2"/>
    <w:basedOn w:val="Normal"/>
    <w:rsid w:val="00CF3C16"/>
    <w:pPr>
      <w:spacing w:after="86" w:line="240" w:lineRule="auto"/>
      <w:ind w:firstLine="270"/>
      <w:jc w:val="both"/>
    </w:pPr>
    <w:rPr>
      <w:rFonts w:ascii="Frutiger" w:hAnsi="Frutiger" w:cs="Times New Roman"/>
      <w:sz w:val="17"/>
      <w:szCs w:val="17"/>
      <w:lang w:val="es-ES_tradnl" w:eastAsia="zh-CN"/>
    </w:rPr>
  </w:style>
  <w:style w:type="paragraph" w:customStyle="1" w:styleId="p3">
    <w:name w:val="p3"/>
    <w:basedOn w:val="Normal"/>
    <w:rsid w:val="00CF3C16"/>
    <w:pPr>
      <w:spacing w:after="86" w:line="240" w:lineRule="auto"/>
      <w:ind w:left="270" w:hanging="270"/>
      <w:jc w:val="both"/>
    </w:pPr>
    <w:rPr>
      <w:rFonts w:ascii="Frutiger" w:hAnsi="Frutiger" w:cs="Times New Roman"/>
      <w:sz w:val="17"/>
      <w:szCs w:val="17"/>
      <w:lang w:val="es-ES_tradnl" w:eastAsia="zh-CN"/>
    </w:rPr>
  </w:style>
  <w:style w:type="paragraph" w:customStyle="1" w:styleId="p4">
    <w:name w:val="p4"/>
    <w:basedOn w:val="Normal"/>
    <w:rsid w:val="00CF3C16"/>
    <w:pPr>
      <w:spacing w:after="341" w:line="240" w:lineRule="auto"/>
      <w:ind w:firstLine="270"/>
      <w:jc w:val="both"/>
    </w:pPr>
    <w:rPr>
      <w:rFonts w:ascii="Frutiger" w:hAnsi="Frutiger" w:cs="Times New Roman"/>
      <w:sz w:val="17"/>
      <w:szCs w:val="17"/>
      <w:lang w:val="es-ES_tradnl" w:eastAsia="zh-CN"/>
    </w:rPr>
  </w:style>
  <w:style w:type="paragraph" w:customStyle="1" w:styleId="p5">
    <w:name w:val="p5"/>
    <w:basedOn w:val="Normal"/>
    <w:rsid w:val="00CF3C16"/>
    <w:pPr>
      <w:spacing w:after="86" w:line="240" w:lineRule="auto"/>
      <w:ind w:left="270"/>
      <w:jc w:val="both"/>
    </w:pPr>
    <w:rPr>
      <w:rFonts w:ascii="Frutiger" w:hAnsi="Frutiger" w:cs="Times New Roman"/>
      <w:sz w:val="17"/>
      <w:szCs w:val="17"/>
      <w:lang w:val="es-ES_tradnl" w:eastAsia="zh-CN"/>
    </w:rPr>
  </w:style>
  <w:style w:type="character" w:customStyle="1" w:styleId="s1">
    <w:name w:val="s1"/>
    <w:basedOn w:val="Fuentedeprrafopredeter"/>
    <w:rsid w:val="00CF3C16"/>
    <w:rPr>
      <w:color w:val="44F5A8"/>
    </w:rPr>
  </w:style>
  <w:style w:type="character" w:customStyle="1" w:styleId="s2">
    <w:name w:val="s2"/>
    <w:basedOn w:val="Fuentedeprrafopredeter"/>
    <w:rsid w:val="00CF3C16"/>
    <w:rPr>
      <w:spacing w:val="-2"/>
    </w:rPr>
  </w:style>
  <w:style w:type="character" w:customStyle="1" w:styleId="s3">
    <w:name w:val="s3"/>
    <w:basedOn w:val="Fuentedeprrafopredeter"/>
    <w:rsid w:val="00CF3C16"/>
    <w:rPr>
      <w:spacing w:val="-5"/>
    </w:rPr>
  </w:style>
  <w:style w:type="character" w:customStyle="1" w:styleId="apple-tab-span">
    <w:name w:val="apple-tab-span"/>
    <w:basedOn w:val="Fuentedeprrafopredeter"/>
    <w:rsid w:val="00CF3C16"/>
  </w:style>
  <w:style w:type="character" w:customStyle="1" w:styleId="apple-converted-space">
    <w:name w:val="apple-converted-space"/>
    <w:basedOn w:val="Fuentedeprrafopredeter"/>
    <w:rsid w:val="00CF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amanetwork.com/journals/jamadermatology/article-abstract/266159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C318-8A4A-7247-8371-32A97E19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1762</Words>
  <Characters>9694</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30</cp:revision>
  <dcterms:created xsi:type="dcterms:W3CDTF">2018-08-03T09:09:00Z</dcterms:created>
  <dcterms:modified xsi:type="dcterms:W3CDTF">2018-09-21T09:27:00Z</dcterms:modified>
</cp:coreProperties>
</file>