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8B10" w14:textId="0FCEAD07" w:rsidR="002C5175" w:rsidRPr="00AB0724" w:rsidRDefault="00667058" w:rsidP="00AB0724">
      <w:pPr>
        <w:jc w:val="center"/>
        <w:rPr>
          <w:rStyle w:val="nfasis"/>
          <w:rFonts w:eastAsia="Times New Roman" w:cs="Arial"/>
          <w:b/>
          <w:bCs/>
          <w:sz w:val="26"/>
          <w:szCs w:val="26"/>
        </w:rPr>
      </w:pPr>
      <w:r w:rsidRPr="00AB0724">
        <w:rPr>
          <w:rStyle w:val="Textoennegrita"/>
          <w:rFonts w:eastAsia="Times New Roman" w:cs="Arial"/>
          <w:sz w:val="26"/>
          <w:szCs w:val="26"/>
        </w:rPr>
        <w:t xml:space="preserve">Laboratorios </w:t>
      </w:r>
      <w:proofErr w:type="spellStart"/>
      <w:r w:rsidRPr="00AB0724">
        <w:rPr>
          <w:rStyle w:val="Textoennegrita"/>
          <w:rFonts w:eastAsia="Times New Roman" w:cs="Arial"/>
          <w:sz w:val="26"/>
          <w:szCs w:val="26"/>
        </w:rPr>
        <w:t>Heel</w:t>
      </w:r>
      <w:proofErr w:type="spellEnd"/>
      <w:r w:rsidRPr="00AB0724">
        <w:rPr>
          <w:rStyle w:val="Textoennegrita"/>
          <w:rFonts w:eastAsia="Times New Roman" w:cs="Arial"/>
          <w:sz w:val="26"/>
          <w:szCs w:val="26"/>
        </w:rPr>
        <w:t xml:space="preserve"> España </w:t>
      </w:r>
      <w:r w:rsidR="00AB0724" w:rsidRPr="00AB0724">
        <w:rPr>
          <w:rStyle w:val="Textoennegrita"/>
          <w:rFonts w:eastAsia="Times New Roman" w:cs="Arial"/>
          <w:sz w:val="26"/>
          <w:szCs w:val="26"/>
        </w:rPr>
        <w:t>lanza al mercado</w:t>
      </w:r>
      <w:r w:rsidRPr="00AB0724">
        <w:rPr>
          <w:rStyle w:val="Textoennegrita"/>
          <w:rFonts w:eastAsia="Times New Roman" w:cs="Arial"/>
          <w:sz w:val="26"/>
          <w:szCs w:val="26"/>
        </w:rPr>
        <w:t xml:space="preserve"> </w:t>
      </w:r>
      <w:proofErr w:type="spellStart"/>
      <w:r w:rsidRPr="00AB0724">
        <w:rPr>
          <w:rStyle w:val="Textoennegrita"/>
          <w:rFonts w:eastAsia="Times New Roman" w:cs="Arial"/>
          <w:sz w:val="26"/>
          <w:szCs w:val="26"/>
        </w:rPr>
        <w:t>Gasteel</w:t>
      </w:r>
      <w:proofErr w:type="spellEnd"/>
      <w:r w:rsidR="003C00B8">
        <w:rPr>
          <w:rStyle w:val="Textoennegrita"/>
          <w:rFonts w:eastAsia="Times New Roman" w:cs="Arial"/>
          <w:sz w:val="26"/>
          <w:szCs w:val="26"/>
        </w:rPr>
        <w:t xml:space="preserve"> </w:t>
      </w:r>
      <w:proofErr w:type="spellStart"/>
      <w:r w:rsidR="003C00B8">
        <w:rPr>
          <w:rStyle w:val="Textoennegrita"/>
          <w:rFonts w:eastAsia="Times New Roman" w:cs="Arial"/>
          <w:sz w:val="26"/>
          <w:szCs w:val="26"/>
        </w:rPr>
        <w:t>Inmunity</w:t>
      </w:r>
      <w:proofErr w:type="spellEnd"/>
      <w:r w:rsidR="003C00B8">
        <w:rPr>
          <w:rStyle w:val="Textoennegrita"/>
          <w:rFonts w:eastAsia="Times New Roman" w:cs="Arial"/>
          <w:sz w:val="26"/>
          <w:szCs w:val="26"/>
        </w:rPr>
        <w:t xml:space="preserve"> Balance, </w:t>
      </w:r>
      <w:r w:rsidRPr="00AB0724">
        <w:rPr>
          <w:rStyle w:val="Textoennegrita"/>
          <w:rFonts w:eastAsia="Times New Roman" w:cs="Arial"/>
          <w:sz w:val="26"/>
          <w:szCs w:val="26"/>
        </w:rPr>
        <w:t xml:space="preserve">nuevo simbiótico de la línea </w:t>
      </w:r>
      <w:proofErr w:type="spellStart"/>
      <w:r w:rsidR="003C00B8">
        <w:rPr>
          <w:rStyle w:val="Textoennegrita"/>
          <w:rFonts w:eastAsia="Times New Roman" w:cs="Arial"/>
          <w:sz w:val="26"/>
          <w:szCs w:val="26"/>
        </w:rPr>
        <w:t>MedibiotiX</w:t>
      </w:r>
      <w:proofErr w:type="spellEnd"/>
    </w:p>
    <w:p w14:paraId="3E1BF936" w14:textId="5BC75D1D" w:rsidR="003C00B8" w:rsidRDefault="003C00B8" w:rsidP="00B46B6D">
      <w:pPr>
        <w:jc w:val="both"/>
        <w:rPr>
          <w:iCs/>
        </w:rPr>
      </w:pPr>
      <w:r w:rsidRPr="00173926">
        <w:rPr>
          <w:rFonts w:cs="Tahoma"/>
          <w:b/>
          <w:bCs/>
        </w:rPr>
        <w:t>Madrid, marzo 2022.-</w:t>
      </w:r>
      <w:r>
        <w:rPr>
          <w:rFonts w:cs="Tahoma"/>
        </w:rPr>
        <w:t xml:space="preserve"> </w:t>
      </w:r>
      <w:r w:rsidR="00667058" w:rsidRPr="00667058">
        <w:rPr>
          <w:rFonts w:cs="Tahoma"/>
        </w:rPr>
        <w:t xml:space="preserve">La nueva línea de simbióticos de </w:t>
      </w:r>
      <w:proofErr w:type="spellStart"/>
      <w:r w:rsidR="00667058" w:rsidRPr="00667058">
        <w:rPr>
          <w:rFonts w:cs="Tahoma"/>
        </w:rPr>
        <w:t>Heel</w:t>
      </w:r>
      <w:proofErr w:type="spellEnd"/>
      <w:r w:rsidR="00667058" w:rsidRPr="00667058">
        <w:rPr>
          <w:rFonts w:cs="Tahoma"/>
        </w:rPr>
        <w:t xml:space="preserve">, </w:t>
      </w:r>
      <w:proofErr w:type="spellStart"/>
      <w:r w:rsidRPr="00173926">
        <w:rPr>
          <w:rFonts w:cs="Tahoma"/>
          <w:b/>
          <w:bCs/>
        </w:rPr>
        <w:t>MedibiotiX</w:t>
      </w:r>
      <w:proofErr w:type="spellEnd"/>
      <w:r>
        <w:rPr>
          <w:rFonts w:cs="Tahoma"/>
        </w:rPr>
        <w:t xml:space="preserve">, cuenta ya en su </w:t>
      </w:r>
      <w:proofErr w:type="gramStart"/>
      <w:r>
        <w:rPr>
          <w:rFonts w:cs="Tahoma"/>
        </w:rPr>
        <w:t>portfolio</w:t>
      </w:r>
      <w:proofErr w:type="gramEnd"/>
      <w:r>
        <w:rPr>
          <w:rFonts w:cs="Tahoma"/>
        </w:rPr>
        <w:t xml:space="preserve"> con </w:t>
      </w:r>
      <w:proofErr w:type="spellStart"/>
      <w:r w:rsidRPr="00173926">
        <w:rPr>
          <w:rFonts w:cs="Tahoma"/>
          <w:b/>
          <w:bCs/>
        </w:rPr>
        <w:t>Gasteel</w:t>
      </w:r>
      <w:proofErr w:type="spellEnd"/>
      <w:r w:rsidRPr="00173926">
        <w:rPr>
          <w:rFonts w:cs="Tahoma"/>
          <w:b/>
          <w:bCs/>
        </w:rPr>
        <w:t xml:space="preserve"> </w:t>
      </w:r>
      <w:proofErr w:type="spellStart"/>
      <w:r w:rsidRPr="00173926">
        <w:rPr>
          <w:rFonts w:cs="Tahoma"/>
          <w:b/>
          <w:bCs/>
        </w:rPr>
        <w:t>Inmunity</w:t>
      </w:r>
      <w:proofErr w:type="spellEnd"/>
      <w:r w:rsidRPr="00173926">
        <w:rPr>
          <w:rFonts w:cs="Tahoma"/>
          <w:b/>
          <w:bCs/>
        </w:rPr>
        <w:t xml:space="preserve"> Balance</w:t>
      </w:r>
      <w:r>
        <w:rPr>
          <w:rFonts w:cs="Tahoma"/>
        </w:rPr>
        <w:t xml:space="preserve">. </w:t>
      </w:r>
      <w:r>
        <w:rPr>
          <w:iCs/>
        </w:rPr>
        <w:t xml:space="preserve">Se trata de un simbiótico, con </w:t>
      </w:r>
      <w:r w:rsidR="00A972C3">
        <w:rPr>
          <w:iCs/>
        </w:rPr>
        <w:t>G</w:t>
      </w:r>
      <w:r>
        <w:rPr>
          <w:iCs/>
        </w:rPr>
        <w:t xml:space="preserve">lutamina y vitaminas, que </w:t>
      </w:r>
      <w:r w:rsidRPr="007A288A">
        <w:rPr>
          <w:iCs/>
        </w:rPr>
        <w:t xml:space="preserve">contribuye al equilibrio </w:t>
      </w:r>
      <w:proofErr w:type="gramStart"/>
      <w:r w:rsidRPr="007A288A">
        <w:rPr>
          <w:iCs/>
        </w:rPr>
        <w:t>de</w:t>
      </w:r>
      <w:r>
        <w:rPr>
          <w:iCs/>
        </w:rPr>
        <w:t xml:space="preserve"> </w:t>
      </w:r>
      <w:r w:rsidRPr="007A288A">
        <w:rPr>
          <w:iCs/>
        </w:rPr>
        <w:t>la</w:t>
      </w:r>
      <w:r>
        <w:rPr>
          <w:iCs/>
        </w:rPr>
        <w:t xml:space="preserve"> </w:t>
      </w:r>
      <w:r w:rsidRPr="007A288A">
        <w:rPr>
          <w:iCs/>
        </w:rPr>
        <w:t>microbiota intestinal</w:t>
      </w:r>
      <w:proofErr w:type="gramEnd"/>
      <w:r w:rsidRPr="007A288A">
        <w:rPr>
          <w:iCs/>
        </w:rPr>
        <w:t xml:space="preserve"> en caso de disbiosis y al normal funcionamiento del sistema inmune</w:t>
      </w:r>
      <w:r>
        <w:rPr>
          <w:iCs/>
        </w:rPr>
        <w:t>.</w:t>
      </w:r>
    </w:p>
    <w:p w14:paraId="0D4295A1" w14:textId="7565C449" w:rsidR="003C00B8" w:rsidRDefault="005318E7" w:rsidP="00B46B6D">
      <w:pPr>
        <w:jc w:val="both"/>
        <w:rPr>
          <w:iCs/>
        </w:rPr>
      </w:pPr>
      <w:proofErr w:type="spellStart"/>
      <w:r w:rsidRPr="00A972C3">
        <w:rPr>
          <w:rFonts w:eastAsia="Times New Roman" w:cs="Tahoma"/>
          <w:b/>
          <w:bCs/>
        </w:rPr>
        <w:t>Gasteel</w:t>
      </w:r>
      <w:proofErr w:type="spellEnd"/>
      <w:r w:rsidRPr="00A972C3">
        <w:rPr>
          <w:rFonts w:eastAsia="Times New Roman" w:cs="Tahoma"/>
          <w:b/>
          <w:bCs/>
        </w:rPr>
        <w:t xml:space="preserve"> </w:t>
      </w:r>
      <w:proofErr w:type="spellStart"/>
      <w:r w:rsidR="003C00B8" w:rsidRPr="00A972C3">
        <w:rPr>
          <w:rFonts w:eastAsia="Times New Roman" w:cs="Tahoma"/>
          <w:b/>
          <w:bCs/>
        </w:rPr>
        <w:t>Inmunity</w:t>
      </w:r>
      <w:proofErr w:type="spellEnd"/>
      <w:r w:rsidR="003C00B8" w:rsidRPr="00A972C3">
        <w:rPr>
          <w:rFonts w:eastAsia="Times New Roman" w:cs="Tahoma"/>
          <w:b/>
          <w:bCs/>
        </w:rPr>
        <w:t xml:space="preserve"> Balance</w:t>
      </w:r>
      <w:r w:rsidR="003C00B8">
        <w:rPr>
          <w:rFonts w:eastAsia="Times New Roman" w:cs="Tahoma"/>
        </w:rPr>
        <w:t xml:space="preserve"> </w:t>
      </w:r>
      <w:r w:rsidR="003C00B8">
        <w:rPr>
          <w:iCs/>
        </w:rPr>
        <w:t xml:space="preserve">se presenta en forma de </w:t>
      </w:r>
      <w:r w:rsidR="003C00B8" w:rsidRPr="0050582D">
        <w:rPr>
          <w:iCs/>
        </w:rPr>
        <w:t xml:space="preserve">10 sobres </w:t>
      </w:r>
      <w:proofErr w:type="spellStart"/>
      <w:r w:rsidR="003C00B8">
        <w:rPr>
          <w:iCs/>
        </w:rPr>
        <w:t>buco</w:t>
      </w:r>
      <w:r w:rsidR="003C00B8" w:rsidRPr="0050582D">
        <w:rPr>
          <w:iCs/>
        </w:rPr>
        <w:t>dispersables</w:t>
      </w:r>
      <w:proofErr w:type="spellEnd"/>
      <w:r w:rsidR="003C00B8" w:rsidRPr="0050582D">
        <w:rPr>
          <w:iCs/>
        </w:rPr>
        <w:t>. Esta galénica le confiere una m</w:t>
      </w:r>
      <w:r w:rsidR="003C00B8" w:rsidRPr="006A6C3E">
        <w:rPr>
          <w:iCs/>
        </w:rPr>
        <w:t>ayor facilidad de administración y comodidad</w:t>
      </w:r>
      <w:r w:rsidR="003C00B8" w:rsidRPr="0050582D">
        <w:rPr>
          <w:iCs/>
        </w:rPr>
        <w:t xml:space="preserve"> pues </w:t>
      </w:r>
      <w:r w:rsidR="003C00B8" w:rsidRPr="006A6C3E">
        <w:rPr>
          <w:iCs/>
        </w:rPr>
        <w:t>no es necesario disolver el sobre en agua</w:t>
      </w:r>
      <w:r w:rsidR="003C00B8" w:rsidRPr="0050582D">
        <w:rPr>
          <w:iCs/>
        </w:rPr>
        <w:t>.</w:t>
      </w:r>
      <w:r w:rsidR="00346E67">
        <w:rPr>
          <w:iCs/>
        </w:rPr>
        <w:t xml:space="preserve"> </w:t>
      </w:r>
      <w:r w:rsidR="004A2511">
        <w:rPr>
          <w:iCs/>
        </w:rPr>
        <w:t xml:space="preserve">Tomar 1 sobre al día, preferiblemente por la mañana. </w:t>
      </w:r>
      <w:r w:rsidR="00346E67">
        <w:rPr>
          <w:iCs/>
        </w:rPr>
        <w:t xml:space="preserve">Cuentan con un sabor agradable y no contienen ni gluten ni lactosa. Además, no requiere condiciones especiales de conservación. </w:t>
      </w:r>
    </w:p>
    <w:p w14:paraId="4D2428D1" w14:textId="5808DAFA" w:rsidR="003C00B8" w:rsidRPr="003132E7" w:rsidRDefault="003132E7" w:rsidP="00B46B6D">
      <w:pPr>
        <w:jc w:val="both"/>
        <w:rPr>
          <w:b/>
          <w:bCs/>
          <w:iCs/>
        </w:rPr>
      </w:pPr>
      <w:r w:rsidRPr="003132E7">
        <w:rPr>
          <w:b/>
          <w:bCs/>
          <w:iCs/>
        </w:rPr>
        <w:t xml:space="preserve">Composición de </w:t>
      </w:r>
      <w:proofErr w:type="spellStart"/>
      <w:r w:rsidRPr="003132E7">
        <w:rPr>
          <w:b/>
          <w:bCs/>
          <w:iCs/>
        </w:rPr>
        <w:t>Gasteel</w:t>
      </w:r>
      <w:proofErr w:type="spellEnd"/>
      <w:r w:rsidRPr="003132E7">
        <w:rPr>
          <w:b/>
          <w:bCs/>
          <w:iCs/>
        </w:rPr>
        <w:t xml:space="preserve"> </w:t>
      </w:r>
      <w:proofErr w:type="spellStart"/>
      <w:r w:rsidRPr="003132E7">
        <w:rPr>
          <w:b/>
          <w:bCs/>
          <w:iCs/>
        </w:rPr>
        <w:t>Inmunity</w:t>
      </w:r>
      <w:proofErr w:type="spellEnd"/>
      <w:r w:rsidRPr="003132E7">
        <w:rPr>
          <w:b/>
          <w:bCs/>
          <w:iCs/>
        </w:rPr>
        <w:t xml:space="preserve"> Balance</w:t>
      </w:r>
    </w:p>
    <w:p w14:paraId="739D7572" w14:textId="77777777" w:rsidR="003C00B8" w:rsidRPr="003C00B8" w:rsidRDefault="003317B1" w:rsidP="00B46B6D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iCs/>
        </w:rPr>
      </w:pPr>
      <w:r w:rsidRPr="003C00B8">
        <w:rPr>
          <w:rFonts w:eastAsia="Times New Roman" w:cs="Tahoma"/>
        </w:rPr>
        <w:t xml:space="preserve">Probióticos: </w:t>
      </w:r>
    </w:p>
    <w:p w14:paraId="4BBD6D73" w14:textId="74CF7906" w:rsidR="003C00B8" w:rsidRPr="00C44F1B" w:rsidRDefault="003C00B8" w:rsidP="00B46B6D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iCs/>
          <w:lang w:val="en-US"/>
        </w:rPr>
      </w:pPr>
      <w:r w:rsidRPr="00C44F1B">
        <w:rPr>
          <w:i/>
          <w:iCs/>
          <w:lang w:val="en-US"/>
        </w:rPr>
        <w:t xml:space="preserve">Lactobacillus </w:t>
      </w:r>
      <w:proofErr w:type="spellStart"/>
      <w:r w:rsidRPr="00C44F1B">
        <w:rPr>
          <w:i/>
          <w:iCs/>
          <w:lang w:val="en-US"/>
        </w:rPr>
        <w:t>rhamnosus</w:t>
      </w:r>
      <w:proofErr w:type="spellEnd"/>
      <w:r w:rsidR="004A2511" w:rsidRPr="00C44F1B">
        <w:rPr>
          <w:i/>
          <w:iCs/>
          <w:lang w:val="en-US"/>
        </w:rPr>
        <w:t xml:space="preserve"> </w:t>
      </w:r>
      <w:r w:rsidRPr="00C44F1B">
        <w:rPr>
          <w:lang w:val="en-US"/>
        </w:rPr>
        <w:t>GG</w:t>
      </w:r>
      <w:r w:rsidRPr="00C44F1B">
        <w:rPr>
          <w:i/>
          <w:iCs/>
          <w:lang w:val="en-US"/>
        </w:rPr>
        <w:t xml:space="preserve"> </w:t>
      </w:r>
      <w:r w:rsidRPr="00C44F1B">
        <w:rPr>
          <w:iCs/>
          <w:lang w:val="en-US"/>
        </w:rPr>
        <w:t>(ATCC No. 53103)</w:t>
      </w:r>
    </w:p>
    <w:p w14:paraId="12073878" w14:textId="77777777" w:rsidR="003C00B8" w:rsidRPr="003C00B8" w:rsidRDefault="003C00B8" w:rsidP="00B46B6D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iCs/>
        </w:rPr>
      </w:pPr>
      <w:r w:rsidRPr="003C00B8">
        <w:rPr>
          <w:i/>
          <w:iCs/>
          <w:lang w:val="en-US"/>
        </w:rPr>
        <w:t xml:space="preserve">Bifidobacterium breve </w:t>
      </w:r>
      <w:r w:rsidRPr="003C00B8">
        <w:rPr>
          <w:iCs/>
          <w:lang w:val="en-US"/>
        </w:rPr>
        <w:t>BR03 (DSM 16604))</w:t>
      </w:r>
    </w:p>
    <w:p w14:paraId="1C523B75" w14:textId="77777777" w:rsidR="003C00B8" w:rsidRPr="003C00B8" w:rsidRDefault="003C00B8" w:rsidP="00B46B6D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iCs/>
        </w:rPr>
      </w:pPr>
      <w:r w:rsidRPr="003C00B8">
        <w:rPr>
          <w:i/>
          <w:iCs/>
          <w:lang w:val="en-US"/>
        </w:rPr>
        <w:t xml:space="preserve">Bifidobacterium lactis </w:t>
      </w:r>
      <w:r w:rsidRPr="003C00B8">
        <w:rPr>
          <w:iCs/>
          <w:lang w:val="en-US"/>
        </w:rPr>
        <w:t>HN019</w:t>
      </w:r>
    </w:p>
    <w:p w14:paraId="5A1A6FD0" w14:textId="4E355C88" w:rsidR="0039019A" w:rsidRPr="003C00B8" w:rsidRDefault="003C00B8" w:rsidP="00B46B6D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iCs/>
        </w:rPr>
      </w:pPr>
      <w:r w:rsidRPr="003C00B8">
        <w:rPr>
          <w:i/>
          <w:lang w:val="en-US"/>
        </w:rPr>
        <w:t>Bifidobacterium lactis</w:t>
      </w:r>
      <w:r w:rsidRPr="003C00B8">
        <w:rPr>
          <w:iCs/>
          <w:lang w:val="en-US"/>
        </w:rPr>
        <w:t xml:space="preserve"> BL-04</w:t>
      </w:r>
    </w:p>
    <w:p w14:paraId="3D0DA1DE" w14:textId="0E009049" w:rsidR="003C00B8" w:rsidRDefault="003317B1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 w:rsidRPr="003C00B8">
        <w:rPr>
          <w:rFonts w:eastAsia="Times New Roman" w:cs="Tahoma"/>
        </w:rPr>
        <w:t xml:space="preserve">Prebióticos: </w:t>
      </w:r>
      <w:r w:rsidR="003C00B8">
        <w:rPr>
          <w:rFonts w:eastAsia="Times New Roman" w:cs="Tahoma"/>
        </w:rPr>
        <w:t xml:space="preserve">300 mg de </w:t>
      </w:r>
      <w:proofErr w:type="spellStart"/>
      <w:r w:rsidRPr="003C00B8">
        <w:rPr>
          <w:rFonts w:eastAsia="Times New Roman" w:cs="Tahoma"/>
        </w:rPr>
        <w:t>Fructooligosacáridos</w:t>
      </w:r>
      <w:proofErr w:type="spellEnd"/>
    </w:p>
    <w:p w14:paraId="5FEE1303" w14:textId="46ABFEB6" w:rsidR="00B46B6D" w:rsidRDefault="0062318E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b/>
          <w:bCs/>
          <w:iCs/>
        </w:rPr>
        <w:t xml:space="preserve">100 mg de </w:t>
      </w:r>
      <w:r w:rsidR="003C00B8" w:rsidRPr="003C00B8">
        <w:rPr>
          <w:b/>
          <w:bCs/>
          <w:iCs/>
        </w:rPr>
        <w:t>L-Glutamina</w:t>
      </w:r>
      <w:r w:rsidR="003C00B8">
        <w:rPr>
          <w:iCs/>
        </w:rPr>
        <w:t xml:space="preserve">: </w:t>
      </w:r>
      <w:r>
        <w:rPr>
          <w:iCs/>
        </w:rPr>
        <w:t>E</w:t>
      </w:r>
      <w:r w:rsidR="003C00B8" w:rsidRPr="003C00B8">
        <w:rPr>
          <w:iCs/>
        </w:rPr>
        <w:t xml:space="preserve">s un nutriente </w:t>
      </w:r>
      <w:r w:rsidR="003C00B8">
        <w:rPr>
          <w:iCs/>
        </w:rPr>
        <w:t>que ayuda a</w:t>
      </w:r>
      <w:r w:rsidR="003C00B8" w:rsidRPr="003C00B8">
        <w:rPr>
          <w:iCs/>
        </w:rPr>
        <w:t xml:space="preserve"> mantener la función de barrera intestinal</w:t>
      </w:r>
    </w:p>
    <w:p w14:paraId="35EC2B62" w14:textId="4F576851" w:rsidR="0062318E" w:rsidRPr="003132E7" w:rsidRDefault="0062318E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t>Vitaminas B6 y B12</w:t>
      </w:r>
      <w:r w:rsidR="00525B2A">
        <w:t>:</w:t>
      </w:r>
      <w:r>
        <w:t xml:space="preserve"> </w:t>
      </w:r>
      <w:r w:rsidR="00346E67">
        <w:t>Contribuyen al buen funcionamiento del sistema inmune.</w:t>
      </w:r>
    </w:p>
    <w:p w14:paraId="6A19F060" w14:textId="09CF0106" w:rsidR="003132E7" w:rsidRPr="003132E7" w:rsidRDefault="003132E7" w:rsidP="003132E7">
      <w:pPr>
        <w:jc w:val="both"/>
        <w:rPr>
          <w:b/>
          <w:bCs/>
          <w:iCs/>
        </w:rPr>
      </w:pPr>
      <w:r w:rsidRPr="003132E7">
        <w:rPr>
          <w:b/>
          <w:bCs/>
          <w:iCs/>
        </w:rPr>
        <w:t>A quién va dirigido</w:t>
      </w:r>
    </w:p>
    <w:p w14:paraId="65670065" w14:textId="20B1F377" w:rsidR="003132E7" w:rsidRDefault="003132E7" w:rsidP="003132E7">
      <w:pPr>
        <w:jc w:val="both"/>
        <w:rPr>
          <w:iCs/>
        </w:rPr>
      </w:pPr>
      <w:r>
        <w:rPr>
          <w:iCs/>
        </w:rPr>
        <w:t xml:space="preserve">Gracias al efecto sinérgico de sus componentes, </w:t>
      </w:r>
      <w:proofErr w:type="spellStart"/>
      <w:r w:rsidRPr="003132E7">
        <w:rPr>
          <w:b/>
          <w:bCs/>
          <w:iCs/>
        </w:rPr>
        <w:t>Gasteel</w:t>
      </w:r>
      <w:proofErr w:type="spellEnd"/>
      <w:r w:rsidRPr="003132E7">
        <w:rPr>
          <w:b/>
          <w:bCs/>
          <w:iCs/>
        </w:rPr>
        <w:t xml:space="preserve"> </w:t>
      </w:r>
      <w:proofErr w:type="spellStart"/>
      <w:r w:rsidRPr="003132E7">
        <w:rPr>
          <w:b/>
          <w:bCs/>
          <w:iCs/>
        </w:rPr>
        <w:t>Inmunity</w:t>
      </w:r>
      <w:proofErr w:type="spellEnd"/>
      <w:r w:rsidRPr="003132E7">
        <w:rPr>
          <w:b/>
          <w:bCs/>
          <w:iCs/>
        </w:rPr>
        <w:t xml:space="preserve"> Balance</w:t>
      </w:r>
      <w:r>
        <w:rPr>
          <w:iCs/>
        </w:rPr>
        <w:t xml:space="preserve"> es apto para niños* y adultos que requieren:</w:t>
      </w:r>
    </w:p>
    <w:p w14:paraId="65D5EB47" w14:textId="630D09EA" w:rsidR="003132E7" w:rsidRDefault="003132E7" w:rsidP="003132E7">
      <w:pPr>
        <w:pStyle w:val="Prrafodelista"/>
        <w:numPr>
          <w:ilvl w:val="0"/>
          <w:numId w:val="10"/>
        </w:numPr>
        <w:jc w:val="both"/>
        <w:rPr>
          <w:iCs/>
        </w:rPr>
      </w:pPr>
      <w:r>
        <w:rPr>
          <w:iCs/>
        </w:rPr>
        <w:t>Refuerzo inmunitario durante:</w:t>
      </w:r>
    </w:p>
    <w:p w14:paraId="06424BCD" w14:textId="6BAECB22" w:rsidR="003132E7" w:rsidRDefault="003132E7" w:rsidP="003132E7">
      <w:pPr>
        <w:pStyle w:val="Prrafodelista"/>
        <w:numPr>
          <w:ilvl w:val="1"/>
          <w:numId w:val="10"/>
        </w:numPr>
        <w:jc w:val="both"/>
        <w:rPr>
          <w:iCs/>
        </w:rPr>
      </w:pPr>
      <w:r>
        <w:rPr>
          <w:iCs/>
        </w:rPr>
        <w:t>Periodo de cansancio y fatiga</w:t>
      </w:r>
    </w:p>
    <w:p w14:paraId="2BB3C2E0" w14:textId="27F12F45" w:rsidR="003132E7" w:rsidRDefault="003132E7" w:rsidP="003132E7">
      <w:pPr>
        <w:pStyle w:val="Prrafodelista"/>
        <w:numPr>
          <w:ilvl w:val="1"/>
          <w:numId w:val="10"/>
        </w:numPr>
        <w:jc w:val="both"/>
        <w:rPr>
          <w:iCs/>
        </w:rPr>
      </w:pPr>
      <w:r>
        <w:rPr>
          <w:iCs/>
        </w:rPr>
        <w:t>Cambios estacionales</w:t>
      </w:r>
    </w:p>
    <w:p w14:paraId="6AAF23C2" w14:textId="3C1E544C" w:rsidR="003132E7" w:rsidRDefault="003132E7" w:rsidP="003132E7">
      <w:pPr>
        <w:pStyle w:val="Prrafodelista"/>
        <w:numPr>
          <w:ilvl w:val="1"/>
          <w:numId w:val="10"/>
        </w:numPr>
        <w:jc w:val="both"/>
        <w:rPr>
          <w:iCs/>
        </w:rPr>
      </w:pPr>
      <w:r>
        <w:rPr>
          <w:iCs/>
        </w:rPr>
        <w:t>Tras una enfermedad</w:t>
      </w:r>
    </w:p>
    <w:p w14:paraId="7294CB90" w14:textId="6A457FE7" w:rsidR="003132E7" w:rsidRDefault="003132E7" w:rsidP="003132E7">
      <w:pPr>
        <w:pStyle w:val="Prrafodelista"/>
        <w:numPr>
          <w:ilvl w:val="0"/>
          <w:numId w:val="10"/>
        </w:numPr>
        <w:jc w:val="both"/>
        <w:rPr>
          <w:iCs/>
        </w:rPr>
      </w:pPr>
      <w:r>
        <w:rPr>
          <w:iCs/>
        </w:rPr>
        <w:t>Equilibrar la disbiosis debida a:</w:t>
      </w:r>
    </w:p>
    <w:p w14:paraId="0748AE18" w14:textId="6749C5A3" w:rsidR="003132E7" w:rsidRDefault="003132E7" w:rsidP="003132E7">
      <w:pPr>
        <w:pStyle w:val="Prrafodelista"/>
        <w:numPr>
          <w:ilvl w:val="1"/>
          <w:numId w:val="10"/>
        </w:numPr>
        <w:jc w:val="both"/>
        <w:rPr>
          <w:iCs/>
        </w:rPr>
      </w:pPr>
      <w:r>
        <w:rPr>
          <w:iCs/>
        </w:rPr>
        <w:t xml:space="preserve">Tratamientos con antibióticos, </w:t>
      </w:r>
      <w:proofErr w:type="spellStart"/>
      <w:r>
        <w:rPr>
          <w:iCs/>
        </w:rPr>
        <w:t>AINEs</w:t>
      </w:r>
      <w:proofErr w:type="spellEnd"/>
      <w:r>
        <w:rPr>
          <w:iCs/>
        </w:rPr>
        <w:t xml:space="preserve"> o corticoides</w:t>
      </w:r>
    </w:p>
    <w:p w14:paraId="7F715CC7" w14:textId="739405F3" w:rsidR="003132E7" w:rsidRDefault="003132E7" w:rsidP="003132E7">
      <w:pPr>
        <w:pStyle w:val="Prrafodelista"/>
        <w:numPr>
          <w:ilvl w:val="1"/>
          <w:numId w:val="10"/>
        </w:numPr>
        <w:jc w:val="both"/>
        <w:rPr>
          <w:iCs/>
        </w:rPr>
      </w:pPr>
      <w:r>
        <w:rPr>
          <w:iCs/>
        </w:rPr>
        <w:t>Estrés</w:t>
      </w:r>
    </w:p>
    <w:p w14:paraId="10B52754" w14:textId="293E8431" w:rsidR="003132E7" w:rsidRDefault="003132E7" w:rsidP="003132E7">
      <w:pPr>
        <w:pStyle w:val="Prrafodelista"/>
        <w:numPr>
          <w:ilvl w:val="1"/>
          <w:numId w:val="10"/>
        </w:numPr>
        <w:jc w:val="both"/>
        <w:rPr>
          <w:iCs/>
        </w:rPr>
      </w:pPr>
      <w:r>
        <w:rPr>
          <w:iCs/>
        </w:rPr>
        <w:t>Mala alimentación</w:t>
      </w:r>
    </w:p>
    <w:p w14:paraId="5E620F29" w14:textId="4CF5B69A" w:rsidR="003132E7" w:rsidRPr="003132E7" w:rsidRDefault="003132E7" w:rsidP="003132E7">
      <w:pPr>
        <w:jc w:val="both"/>
        <w:rPr>
          <w:iCs/>
          <w:sz w:val="18"/>
          <w:szCs w:val="18"/>
        </w:rPr>
      </w:pPr>
      <w:r w:rsidRPr="003132E7">
        <w:rPr>
          <w:iCs/>
          <w:sz w:val="18"/>
          <w:szCs w:val="18"/>
        </w:rPr>
        <w:t xml:space="preserve">*Se recomienda a partir de la edad en la que la alimentación es sólida o el niño tiene ya </w:t>
      </w:r>
      <w:proofErr w:type="gramStart"/>
      <w:r w:rsidRPr="003132E7">
        <w:rPr>
          <w:iCs/>
          <w:sz w:val="18"/>
          <w:szCs w:val="18"/>
        </w:rPr>
        <w:t>una microbiota</w:t>
      </w:r>
      <w:proofErr w:type="gramEnd"/>
      <w:r w:rsidRPr="003132E7">
        <w:rPr>
          <w:iCs/>
          <w:sz w:val="18"/>
          <w:szCs w:val="18"/>
        </w:rPr>
        <w:t xml:space="preserve"> madura</w:t>
      </w:r>
    </w:p>
    <w:p w14:paraId="39CBB45D" w14:textId="6BBCD37D" w:rsidR="00F169DD" w:rsidRDefault="00F169DD" w:rsidP="00AE6CDF">
      <w:pPr>
        <w:pStyle w:val="NormalWeb"/>
        <w:spacing w:line="276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  <w:r>
        <w:rPr>
          <w:rFonts w:asciiTheme="minorHAnsi" w:eastAsia="Times New Roman" w:hAnsiTheme="minorHAnsi" w:cs="Tahoma"/>
          <w:sz w:val="22"/>
          <w:szCs w:val="22"/>
        </w:rPr>
        <w:t xml:space="preserve"> </w:t>
      </w:r>
    </w:p>
    <w:p w14:paraId="460A4CBC" w14:textId="55FA4FDF" w:rsidR="00446D90" w:rsidRPr="00AE6CDF" w:rsidRDefault="00446D90" w:rsidP="00AE6CDF">
      <w:pPr>
        <w:pStyle w:val="NormalWeb"/>
        <w:spacing w:line="276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  <w:hyperlink r:id="rId5" w:history="1">
        <w:r w:rsidRPr="00446D90">
          <w:rPr>
            <w:rStyle w:val="Hipervnculo"/>
            <w:rFonts w:asciiTheme="minorHAnsi" w:eastAsia="Times New Roman" w:hAnsiTheme="minorHAnsi" w:cs="Tahoma"/>
            <w:sz w:val="22"/>
            <w:szCs w:val="22"/>
          </w:rPr>
          <w:t>www.medibiotix.es</w:t>
        </w:r>
      </w:hyperlink>
    </w:p>
    <w:sectPr w:rsidR="00446D90" w:rsidRPr="00AE6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0B6"/>
    <w:multiLevelType w:val="hybridMultilevel"/>
    <w:tmpl w:val="691E0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AFE"/>
    <w:multiLevelType w:val="hybridMultilevel"/>
    <w:tmpl w:val="C40691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0EB2"/>
    <w:multiLevelType w:val="hybridMultilevel"/>
    <w:tmpl w:val="0038D1D6"/>
    <w:lvl w:ilvl="0" w:tplc="2B6E9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A5DDB"/>
    <w:multiLevelType w:val="hybridMultilevel"/>
    <w:tmpl w:val="4B905EE2"/>
    <w:lvl w:ilvl="0" w:tplc="0E74D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71C82"/>
    <w:multiLevelType w:val="hybridMultilevel"/>
    <w:tmpl w:val="564859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5253"/>
    <w:multiLevelType w:val="hybridMultilevel"/>
    <w:tmpl w:val="EFBC8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32919"/>
    <w:multiLevelType w:val="hybridMultilevel"/>
    <w:tmpl w:val="A78AFA38"/>
    <w:lvl w:ilvl="0" w:tplc="0388B4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5722D"/>
    <w:multiLevelType w:val="hybridMultilevel"/>
    <w:tmpl w:val="E8B865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364C6"/>
    <w:multiLevelType w:val="multilevel"/>
    <w:tmpl w:val="80F6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CD7395"/>
    <w:multiLevelType w:val="hybridMultilevel"/>
    <w:tmpl w:val="E1A0546C"/>
    <w:lvl w:ilvl="0" w:tplc="6AA499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58"/>
    <w:rsid w:val="000845E8"/>
    <w:rsid w:val="000A10B6"/>
    <w:rsid w:val="000D697D"/>
    <w:rsid w:val="001301C5"/>
    <w:rsid w:val="00156A91"/>
    <w:rsid w:val="00166298"/>
    <w:rsid w:val="00173926"/>
    <w:rsid w:val="002C5175"/>
    <w:rsid w:val="002D21C3"/>
    <w:rsid w:val="003132E7"/>
    <w:rsid w:val="003317B1"/>
    <w:rsid w:val="00346E67"/>
    <w:rsid w:val="0039019A"/>
    <w:rsid w:val="003C00B8"/>
    <w:rsid w:val="00446D90"/>
    <w:rsid w:val="0045668D"/>
    <w:rsid w:val="00487CFA"/>
    <w:rsid w:val="004A1B8D"/>
    <w:rsid w:val="004A2511"/>
    <w:rsid w:val="00525B2A"/>
    <w:rsid w:val="005318E7"/>
    <w:rsid w:val="0055666A"/>
    <w:rsid w:val="0062318E"/>
    <w:rsid w:val="00630157"/>
    <w:rsid w:val="00667058"/>
    <w:rsid w:val="006B6360"/>
    <w:rsid w:val="007301C7"/>
    <w:rsid w:val="00872E6A"/>
    <w:rsid w:val="008848CD"/>
    <w:rsid w:val="008B26AA"/>
    <w:rsid w:val="00A6092F"/>
    <w:rsid w:val="00A972C3"/>
    <w:rsid w:val="00AB0724"/>
    <w:rsid w:val="00AE6CDF"/>
    <w:rsid w:val="00B36ED0"/>
    <w:rsid w:val="00B46B6D"/>
    <w:rsid w:val="00BB0BBF"/>
    <w:rsid w:val="00C27B2B"/>
    <w:rsid w:val="00C44F1B"/>
    <w:rsid w:val="00C63618"/>
    <w:rsid w:val="00DD4BD5"/>
    <w:rsid w:val="00E8460E"/>
    <w:rsid w:val="00F169DD"/>
    <w:rsid w:val="00F93BF3"/>
    <w:rsid w:val="00F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A11E"/>
  <w15:docId w15:val="{7DF0341C-9434-48CF-A244-8553AB6C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67058"/>
    <w:rPr>
      <w:b/>
      <w:bCs/>
    </w:rPr>
  </w:style>
  <w:style w:type="character" w:styleId="nfasis">
    <w:name w:val="Emphasis"/>
    <w:basedOn w:val="Fuentedeprrafopredeter"/>
    <w:uiPriority w:val="20"/>
    <w:qFormat/>
    <w:rsid w:val="00667058"/>
    <w:rPr>
      <w:i/>
      <w:iCs/>
    </w:rPr>
  </w:style>
  <w:style w:type="paragraph" w:styleId="Prrafodelista">
    <w:name w:val="List Paragraph"/>
    <w:basedOn w:val="Normal"/>
    <w:uiPriority w:val="34"/>
    <w:qFormat/>
    <w:rsid w:val="006670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70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46D9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ibiotix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Arbeloa, Laura</dc:creator>
  <cp:lastModifiedBy>Garcia, Maria Isabel</cp:lastModifiedBy>
  <cp:revision>11</cp:revision>
  <dcterms:created xsi:type="dcterms:W3CDTF">2022-02-25T14:51:00Z</dcterms:created>
  <dcterms:modified xsi:type="dcterms:W3CDTF">2022-03-01T07:20:00Z</dcterms:modified>
</cp:coreProperties>
</file>