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8B10" w14:textId="570D379D" w:rsidR="002C5175" w:rsidRDefault="005B1D38" w:rsidP="00AB0724">
      <w:pPr>
        <w:jc w:val="center"/>
        <w:rPr>
          <w:rStyle w:val="Textoennegrita"/>
          <w:rFonts w:eastAsia="Times New Roman" w:cs="Arial"/>
          <w:sz w:val="26"/>
          <w:szCs w:val="26"/>
        </w:rPr>
      </w:pPr>
      <w:r>
        <w:rPr>
          <w:rStyle w:val="Textoennegrita"/>
          <w:rFonts w:eastAsia="Times New Roman" w:cs="Arial"/>
          <w:sz w:val="26"/>
          <w:szCs w:val="26"/>
        </w:rPr>
        <w:t xml:space="preserve">Lanzamiento de </w:t>
      </w:r>
      <w:r w:rsidR="00A00B5F">
        <w:rPr>
          <w:rStyle w:val="Textoennegrita"/>
          <w:rFonts w:eastAsia="Times New Roman" w:cs="Arial"/>
          <w:sz w:val="26"/>
          <w:szCs w:val="26"/>
        </w:rPr>
        <w:t>Laxafibra Balance</w:t>
      </w:r>
      <w:r>
        <w:rPr>
          <w:rStyle w:val="Textoennegrita"/>
          <w:rFonts w:eastAsia="Times New Roman" w:cs="Arial"/>
          <w:sz w:val="26"/>
          <w:szCs w:val="26"/>
        </w:rPr>
        <w:t xml:space="preserve">, el nuevo simbiótico de la </w:t>
      </w:r>
      <w:r w:rsidR="00704187">
        <w:rPr>
          <w:rStyle w:val="Textoennegrita"/>
          <w:rFonts w:eastAsia="Times New Roman" w:cs="Arial"/>
          <w:sz w:val="26"/>
          <w:szCs w:val="26"/>
        </w:rPr>
        <w:t>Lí</w:t>
      </w:r>
      <w:r>
        <w:rPr>
          <w:rStyle w:val="Textoennegrita"/>
          <w:rFonts w:eastAsia="Times New Roman" w:cs="Arial"/>
          <w:sz w:val="26"/>
          <w:szCs w:val="26"/>
        </w:rPr>
        <w:t>nea MedibiotiX</w:t>
      </w:r>
    </w:p>
    <w:p w14:paraId="4E65736F" w14:textId="3898FB9C" w:rsidR="005B1D38" w:rsidRPr="00D57DDA" w:rsidRDefault="00246706" w:rsidP="00AB0724">
      <w:pPr>
        <w:jc w:val="center"/>
        <w:rPr>
          <w:rStyle w:val="nfasis"/>
          <w:rFonts w:eastAsia="Times New Roman" w:cs="Arial"/>
          <w:b/>
          <w:bCs/>
          <w:sz w:val="24"/>
          <w:szCs w:val="24"/>
        </w:rPr>
      </w:pPr>
      <w:r w:rsidRPr="00996BCF">
        <w:rPr>
          <w:rFonts w:eastAsia="Times New Roman" w:cs="Arial"/>
          <w:b/>
          <w:bCs/>
          <w:sz w:val="24"/>
          <w:szCs w:val="24"/>
        </w:rPr>
        <w:t>Con fibras solubles, es útil para personas con tendencia al estreñimiento crónico funcional</w:t>
      </w:r>
    </w:p>
    <w:p w14:paraId="3E1BF936" w14:textId="263D5263" w:rsidR="003C00B8" w:rsidRDefault="003C00B8" w:rsidP="00B46B6D">
      <w:pPr>
        <w:jc w:val="both"/>
        <w:rPr>
          <w:rFonts w:cs="Tahoma"/>
        </w:rPr>
      </w:pPr>
      <w:r w:rsidRPr="00173926">
        <w:rPr>
          <w:rFonts w:cs="Tahoma"/>
          <w:b/>
          <w:bCs/>
        </w:rPr>
        <w:t xml:space="preserve">Madrid, </w:t>
      </w:r>
      <w:r w:rsidR="00A43FA8">
        <w:rPr>
          <w:rFonts w:cs="Tahoma"/>
          <w:b/>
          <w:bCs/>
        </w:rPr>
        <w:t>mayo</w:t>
      </w:r>
      <w:r w:rsidRPr="00173926">
        <w:rPr>
          <w:rFonts w:cs="Tahoma"/>
          <w:b/>
          <w:bCs/>
        </w:rPr>
        <w:t xml:space="preserve"> 2022.-</w:t>
      </w:r>
      <w:r>
        <w:rPr>
          <w:rFonts w:cs="Tahoma"/>
        </w:rPr>
        <w:t xml:space="preserve"> </w:t>
      </w:r>
      <w:r w:rsidR="00246706">
        <w:rPr>
          <w:rFonts w:cs="Tahoma"/>
          <w:b/>
          <w:bCs/>
        </w:rPr>
        <w:t>Laxafibra Balance</w:t>
      </w:r>
      <w:r w:rsidR="005B1D38">
        <w:rPr>
          <w:rFonts w:cs="Tahoma"/>
        </w:rPr>
        <w:t xml:space="preserve">, el nuevo lanzamiento de la Línea MedibiotiX de Laboratorios Heel España, </w:t>
      </w:r>
      <w:r w:rsidR="001F382E">
        <w:rPr>
          <w:rFonts w:cs="Tahoma"/>
        </w:rPr>
        <w:t xml:space="preserve">es un simbiótico con </w:t>
      </w:r>
      <w:r w:rsidR="00246706">
        <w:t xml:space="preserve">mezcla de </w:t>
      </w:r>
      <w:r w:rsidR="00246706" w:rsidRPr="001F382E">
        <w:rPr>
          <w:i/>
          <w:iCs/>
        </w:rPr>
        <w:t>Bifidobacterium</w:t>
      </w:r>
      <w:r w:rsidR="00246706">
        <w:t xml:space="preserve"> y </w:t>
      </w:r>
      <w:r w:rsidR="00246706" w:rsidRPr="001F382E">
        <w:rPr>
          <w:i/>
          <w:iCs/>
        </w:rPr>
        <w:t>Lactobacillus</w:t>
      </w:r>
      <w:r w:rsidR="00246706">
        <w:t xml:space="preserve"> y fibras solubles</w:t>
      </w:r>
      <w:r w:rsidR="004B0A7B">
        <w:rPr>
          <w:rFonts w:ascii="Helvetica" w:hAnsi="Helvetica" w:cs="Helvetica"/>
          <w:color w:val="202020"/>
          <w:shd w:val="clear" w:color="auto" w:fill="FFFFFF"/>
        </w:rPr>
        <w:t xml:space="preserve"> (</w:t>
      </w:r>
      <w:r w:rsidR="004B0A7B" w:rsidRPr="00996BCF">
        <w:rPr>
          <w:rFonts w:cs="Tahoma"/>
        </w:rPr>
        <w:t>fructooligosacáridos y dextrina blanca)</w:t>
      </w:r>
      <w:r w:rsidR="00246706" w:rsidRPr="00996BCF">
        <w:rPr>
          <w:rFonts w:cs="Tahoma"/>
        </w:rPr>
        <w:t>.</w:t>
      </w:r>
      <w:r w:rsidR="00D947A2" w:rsidRPr="00996BCF">
        <w:rPr>
          <w:rFonts w:cs="Tahoma"/>
        </w:rPr>
        <w:t xml:space="preserve"> </w:t>
      </w:r>
      <w:r w:rsidR="00906E04" w:rsidRPr="00996BCF">
        <w:rPr>
          <w:rFonts w:cs="Tahoma"/>
        </w:rPr>
        <w:t>Gracias</w:t>
      </w:r>
      <w:r w:rsidR="00246706" w:rsidRPr="00996BCF">
        <w:rPr>
          <w:rFonts w:cs="Tahoma"/>
        </w:rPr>
        <w:t xml:space="preserve"> a la combinación de sus component</w:t>
      </w:r>
      <w:r w:rsidR="00ED6313" w:rsidRPr="00996BCF">
        <w:rPr>
          <w:rFonts w:cs="Tahoma"/>
        </w:rPr>
        <w:t>e</w:t>
      </w:r>
      <w:r w:rsidR="00246706" w:rsidRPr="00996BCF">
        <w:rPr>
          <w:rFonts w:cs="Tahoma"/>
        </w:rPr>
        <w:t xml:space="preserve">s, </w:t>
      </w:r>
      <w:r w:rsidR="00246706" w:rsidRPr="00996BCF">
        <w:rPr>
          <w:rFonts w:cs="Tahoma"/>
          <w:b/>
          <w:bCs/>
        </w:rPr>
        <w:t>Laxafibra Balance</w:t>
      </w:r>
      <w:r w:rsidR="00246706" w:rsidRPr="00996BCF">
        <w:rPr>
          <w:rFonts w:cs="Tahoma"/>
        </w:rPr>
        <w:t xml:space="preserve"> consigue mejorar</w:t>
      </w:r>
      <w:r w:rsidR="00C83946" w:rsidRPr="00996BCF">
        <w:rPr>
          <w:rFonts w:cs="Tahoma"/>
        </w:rPr>
        <w:t xml:space="preserve"> el tiempo total del tránsito intestinal, mejorar la frecuencia y consistencia de las deposiciones y favorecer el equilibrio de la microbiota intestinal. </w:t>
      </w:r>
    </w:p>
    <w:p w14:paraId="1D791D5B" w14:textId="754E16D0" w:rsidR="005B1D38" w:rsidRPr="005B1D38" w:rsidRDefault="005B1D38" w:rsidP="00B46B6D">
      <w:pPr>
        <w:jc w:val="both"/>
        <w:rPr>
          <w:rFonts w:cs="Tahoma"/>
          <w:b/>
          <w:bCs/>
        </w:rPr>
      </w:pPr>
      <w:r w:rsidRPr="005B1D38">
        <w:rPr>
          <w:rFonts w:cs="Tahoma"/>
          <w:b/>
          <w:bCs/>
        </w:rPr>
        <w:t xml:space="preserve">Composición de </w:t>
      </w:r>
      <w:r w:rsidR="00A62480">
        <w:rPr>
          <w:rFonts w:cs="Tahoma"/>
          <w:b/>
          <w:bCs/>
        </w:rPr>
        <w:t>Laxafibra Balance</w:t>
      </w:r>
    </w:p>
    <w:p w14:paraId="739D7572" w14:textId="77777777" w:rsidR="003C00B8" w:rsidRPr="003C00B8" w:rsidRDefault="003317B1" w:rsidP="00B46B6D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iCs/>
        </w:rPr>
      </w:pPr>
      <w:r w:rsidRPr="003C00B8">
        <w:rPr>
          <w:rFonts w:eastAsia="Times New Roman" w:cs="Tahoma"/>
        </w:rPr>
        <w:t xml:space="preserve">Probióticos: </w:t>
      </w:r>
    </w:p>
    <w:p w14:paraId="5A1A6FD0" w14:textId="5CFB89F1" w:rsidR="0039019A" w:rsidRPr="00DB2731" w:rsidRDefault="005B1D38" w:rsidP="00B46B6D">
      <w:pPr>
        <w:pStyle w:val="Prrafodelista"/>
        <w:numPr>
          <w:ilvl w:val="1"/>
          <w:numId w:val="6"/>
        </w:numPr>
        <w:spacing w:after="160" w:line="259" w:lineRule="auto"/>
        <w:jc w:val="both"/>
      </w:pPr>
      <w:r>
        <w:rPr>
          <w:i/>
          <w:iCs/>
        </w:rPr>
        <w:t>Bifidobacteri</w:t>
      </w:r>
      <w:r w:rsidR="00DB2731">
        <w:rPr>
          <w:i/>
          <w:iCs/>
        </w:rPr>
        <w:t xml:space="preserve">um lactis </w:t>
      </w:r>
      <w:r w:rsidR="00A62480">
        <w:t>HHC0400</w:t>
      </w:r>
    </w:p>
    <w:p w14:paraId="1C53F1B2" w14:textId="138104E6" w:rsidR="00DB2731" w:rsidRPr="004B0A7B" w:rsidRDefault="00DB2731" w:rsidP="00B46B6D">
      <w:pPr>
        <w:pStyle w:val="Prrafodelista"/>
        <w:numPr>
          <w:ilvl w:val="1"/>
          <w:numId w:val="6"/>
        </w:numPr>
        <w:spacing w:after="160" w:line="259" w:lineRule="auto"/>
        <w:jc w:val="both"/>
        <w:rPr>
          <w:iCs/>
        </w:rPr>
      </w:pPr>
      <w:r>
        <w:rPr>
          <w:i/>
          <w:iCs/>
        </w:rPr>
        <w:t xml:space="preserve">Bifidobacterium longum </w:t>
      </w:r>
      <w:r w:rsidR="00A62480">
        <w:t>HHC0401</w:t>
      </w:r>
    </w:p>
    <w:p w14:paraId="57A5B92E" w14:textId="0F3E269E" w:rsidR="004B0A7B" w:rsidRPr="004B0A7B" w:rsidRDefault="004B0A7B" w:rsidP="00B46B6D">
      <w:pPr>
        <w:pStyle w:val="Prrafodelista"/>
        <w:numPr>
          <w:ilvl w:val="1"/>
          <w:numId w:val="6"/>
        </w:numPr>
        <w:spacing w:after="160" w:line="259" w:lineRule="auto"/>
        <w:jc w:val="both"/>
        <w:rPr>
          <w:iCs/>
        </w:rPr>
      </w:pPr>
      <w:r>
        <w:rPr>
          <w:i/>
          <w:iCs/>
        </w:rPr>
        <w:t xml:space="preserve">Lactobacillus rhamnosus </w:t>
      </w:r>
      <w:r>
        <w:t>HHC0202</w:t>
      </w:r>
    </w:p>
    <w:p w14:paraId="3468284C" w14:textId="7C040304" w:rsidR="004B0A7B" w:rsidRPr="003C00B8" w:rsidRDefault="004B0A7B" w:rsidP="00B46B6D">
      <w:pPr>
        <w:pStyle w:val="Prrafodelista"/>
        <w:numPr>
          <w:ilvl w:val="1"/>
          <w:numId w:val="6"/>
        </w:numPr>
        <w:spacing w:after="160" w:line="259" w:lineRule="auto"/>
        <w:jc w:val="both"/>
        <w:rPr>
          <w:iCs/>
        </w:rPr>
      </w:pPr>
      <w:r>
        <w:rPr>
          <w:i/>
          <w:iCs/>
        </w:rPr>
        <w:t xml:space="preserve">Lactobacillus acidophilus </w:t>
      </w:r>
      <w:r>
        <w:t>HHC1203</w:t>
      </w:r>
    </w:p>
    <w:p w14:paraId="5BD3206A" w14:textId="628D8664" w:rsidR="00B31BCD" w:rsidRDefault="004B0A7B" w:rsidP="00B46B6D">
      <w:pPr>
        <w:pStyle w:val="Prrafodelista"/>
        <w:numPr>
          <w:ilvl w:val="0"/>
          <w:numId w:val="6"/>
        </w:numPr>
        <w:jc w:val="both"/>
        <w:rPr>
          <w:iCs/>
        </w:rPr>
      </w:pPr>
      <w:r>
        <w:rPr>
          <w:iCs/>
        </w:rPr>
        <w:t>Fibra soluble:</w:t>
      </w:r>
    </w:p>
    <w:p w14:paraId="6A698E81" w14:textId="377D3A98" w:rsidR="004B0A7B" w:rsidRDefault="004B0A7B" w:rsidP="004B0A7B">
      <w:pPr>
        <w:pStyle w:val="Prrafodelista"/>
        <w:numPr>
          <w:ilvl w:val="1"/>
          <w:numId w:val="6"/>
        </w:numPr>
        <w:jc w:val="both"/>
        <w:rPr>
          <w:iCs/>
        </w:rPr>
      </w:pPr>
      <w:r>
        <w:rPr>
          <w:iCs/>
        </w:rPr>
        <w:t xml:space="preserve">2.530 mg de </w:t>
      </w:r>
      <w:r w:rsidR="001F382E">
        <w:rPr>
          <w:iCs/>
        </w:rPr>
        <w:t>d</w:t>
      </w:r>
      <w:r>
        <w:rPr>
          <w:iCs/>
        </w:rPr>
        <w:t>extrina blanca</w:t>
      </w:r>
    </w:p>
    <w:p w14:paraId="314FC493" w14:textId="09E330F5" w:rsidR="004B0A7B" w:rsidRDefault="004B0A7B" w:rsidP="004B0A7B">
      <w:pPr>
        <w:pStyle w:val="Prrafodelista"/>
        <w:numPr>
          <w:ilvl w:val="1"/>
          <w:numId w:val="6"/>
        </w:numPr>
        <w:jc w:val="both"/>
        <w:rPr>
          <w:iCs/>
        </w:rPr>
      </w:pPr>
      <w:r>
        <w:rPr>
          <w:iCs/>
        </w:rPr>
        <w:t xml:space="preserve">1.000 mg de </w:t>
      </w:r>
      <w:r w:rsidR="001F382E">
        <w:rPr>
          <w:iCs/>
        </w:rPr>
        <w:t>f</w:t>
      </w:r>
      <w:r>
        <w:rPr>
          <w:iCs/>
        </w:rPr>
        <w:t>ructooligosacáridos</w:t>
      </w:r>
    </w:p>
    <w:p w14:paraId="11A58402" w14:textId="44D9ABEA" w:rsidR="00EF4453" w:rsidRDefault="00D74A77" w:rsidP="00EF4453">
      <w:pPr>
        <w:jc w:val="both"/>
        <w:rPr>
          <w:iCs/>
        </w:rPr>
      </w:pPr>
      <w:r>
        <w:rPr>
          <w:iCs/>
        </w:rPr>
        <w:t>Todos estos componentes hacen</w:t>
      </w:r>
      <w:r w:rsidR="00ED6313">
        <w:rPr>
          <w:iCs/>
        </w:rPr>
        <w:t xml:space="preserve"> que </w:t>
      </w:r>
      <w:r w:rsidR="004B0A7B">
        <w:rPr>
          <w:b/>
          <w:bCs/>
          <w:iCs/>
        </w:rPr>
        <w:t>Laxafibra Balance</w:t>
      </w:r>
      <w:r w:rsidR="002C1242">
        <w:rPr>
          <w:iCs/>
        </w:rPr>
        <w:t xml:space="preserve"> </w:t>
      </w:r>
      <w:r w:rsidR="00ED6313">
        <w:rPr>
          <w:iCs/>
        </w:rPr>
        <w:t>sea</w:t>
      </w:r>
      <w:r w:rsidR="004B0A7B">
        <w:rPr>
          <w:iCs/>
        </w:rPr>
        <w:t xml:space="preserve"> útil en personas con</w:t>
      </w:r>
      <w:r w:rsidR="00EF4453">
        <w:rPr>
          <w:iCs/>
        </w:rPr>
        <w:t>:</w:t>
      </w:r>
    </w:p>
    <w:p w14:paraId="1C418EB1" w14:textId="67D9778E" w:rsidR="00EF4453" w:rsidRDefault="004B0A7B" w:rsidP="00EF4453">
      <w:pPr>
        <w:pStyle w:val="Prrafodelista"/>
        <w:numPr>
          <w:ilvl w:val="0"/>
          <w:numId w:val="11"/>
        </w:numPr>
        <w:jc w:val="both"/>
        <w:rPr>
          <w:iCs/>
        </w:rPr>
      </w:pPr>
      <w:r>
        <w:rPr>
          <w:iCs/>
        </w:rPr>
        <w:t>Tendencia al estreñimiento crónico funcional, sin ser agresivo con la mucosa del colon</w:t>
      </w:r>
    </w:p>
    <w:p w14:paraId="6EEFDCC5" w14:textId="309F0FDA" w:rsidR="004B0A7B" w:rsidRDefault="004B0A7B" w:rsidP="00EF4453">
      <w:pPr>
        <w:pStyle w:val="Prrafodelista"/>
        <w:numPr>
          <w:ilvl w:val="0"/>
          <w:numId w:val="11"/>
        </w:numPr>
        <w:jc w:val="both"/>
        <w:rPr>
          <w:iCs/>
        </w:rPr>
      </w:pPr>
      <w:r>
        <w:rPr>
          <w:iCs/>
        </w:rPr>
        <w:t>Dietas pobres en fibra que requieran un aporte extra</w:t>
      </w:r>
    </w:p>
    <w:p w14:paraId="612FD963" w14:textId="020EA0B8" w:rsidR="004B0A7B" w:rsidRPr="00EF4453" w:rsidRDefault="004B0A7B" w:rsidP="00EF4453">
      <w:pPr>
        <w:pStyle w:val="Prrafodelista"/>
        <w:numPr>
          <w:ilvl w:val="0"/>
          <w:numId w:val="11"/>
        </w:numPr>
        <w:jc w:val="both"/>
        <w:rPr>
          <w:iCs/>
        </w:rPr>
      </w:pPr>
      <w:r>
        <w:rPr>
          <w:iCs/>
        </w:rPr>
        <w:t xml:space="preserve">Cambios de rutina en los que puede haber alteraciones del tránsito intestinal como viajes o inhibición del reflejo de defecar por conveniencia social </w:t>
      </w:r>
    </w:p>
    <w:p w14:paraId="6A19F060" w14:textId="7C6A5CBC" w:rsidR="003132E7" w:rsidRPr="003132E7" w:rsidRDefault="004B0A7B" w:rsidP="003132E7">
      <w:pPr>
        <w:jc w:val="both"/>
        <w:rPr>
          <w:b/>
          <w:bCs/>
          <w:iCs/>
        </w:rPr>
      </w:pPr>
      <w:r>
        <w:rPr>
          <w:b/>
          <w:bCs/>
          <w:iCs/>
        </w:rPr>
        <w:t>Modo de empleo</w:t>
      </w:r>
    </w:p>
    <w:p w14:paraId="65670065" w14:textId="65570DF2" w:rsidR="003132E7" w:rsidRDefault="004B0A7B" w:rsidP="003132E7">
      <w:pPr>
        <w:jc w:val="both"/>
        <w:rPr>
          <w:iCs/>
        </w:rPr>
      </w:pPr>
      <w:r>
        <w:rPr>
          <w:b/>
          <w:bCs/>
          <w:iCs/>
        </w:rPr>
        <w:t>Laxafibra Balance</w:t>
      </w:r>
      <w:r w:rsidR="003132E7">
        <w:rPr>
          <w:iCs/>
        </w:rPr>
        <w:t xml:space="preserve"> </w:t>
      </w:r>
      <w:r>
        <w:t>es un simbiótico apto tanto para niños como adultos</w:t>
      </w:r>
      <w:r w:rsidR="005F5BED">
        <w:t xml:space="preserve">. Tomar un stick al día disuelto en un líquido frío, preferiblemente por la mañana. Sin gluten y sin lactosa. </w:t>
      </w:r>
    </w:p>
    <w:p w14:paraId="39CBB45D" w14:textId="4D17014B" w:rsidR="00F169DD" w:rsidRDefault="00DB2731" w:rsidP="00AE6CDF">
      <w:pPr>
        <w:pStyle w:val="NormalWeb"/>
        <w:spacing w:line="276" w:lineRule="auto"/>
        <w:jc w:val="both"/>
        <w:rPr>
          <w:rFonts w:asciiTheme="minorHAnsi" w:eastAsia="Times New Roman" w:hAnsiTheme="minorHAnsi" w:cs="Tahoma"/>
          <w:sz w:val="22"/>
          <w:szCs w:val="22"/>
        </w:rPr>
      </w:pPr>
      <w:r>
        <w:rPr>
          <w:rFonts w:asciiTheme="minorHAnsi" w:eastAsia="Times New Roman" w:hAnsiTheme="minorHAnsi" w:cs="Tahoma"/>
          <w:sz w:val="22"/>
          <w:szCs w:val="22"/>
        </w:rPr>
        <w:t xml:space="preserve"> </w:t>
      </w:r>
    </w:p>
    <w:p w14:paraId="06997E81" w14:textId="3B623B2A" w:rsidR="00996BCF" w:rsidRPr="00996BCF" w:rsidRDefault="00A43FA8" w:rsidP="00996BCF">
      <w:pPr>
        <w:jc w:val="both"/>
        <w:rPr>
          <w:iCs/>
          <w:sz w:val="18"/>
          <w:szCs w:val="18"/>
        </w:rPr>
      </w:pPr>
      <w:hyperlink r:id="rId5" w:history="1">
        <w:r w:rsidR="00996BCF" w:rsidRPr="003C04FD">
          <w:rPr>
            <w:rStyle w:val="Hipervnculo"/>
            <w:iCs/>
            <w:sz w:val="18"/>
            <w:szCs w:val="18"/>
          </w:rPr>
          <w:t>www.medibiotix.es</w:t>
        </w:r>
      </w:hyperlink>
    </w:p>
    <w:sectPr w:rsidR="00996BCF" w:rsidRPr="00996B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0B6"/>
    <w:multiLevelType w:val="hybridMultilevel"/>
    <w:tmpl w:val="691E0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AFE"/>
    <w:multiLevelType w:val="hybridMultilevel"/>
    <w:tmpl w:val="C40691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0EB2"/>
    <w:multiLevelType w:val="hybridMultilevel"/>
    <w:tmpl w:val="0038D1D6"/>
    <w:lvl w:ilvl="0" w:tplc="2B6E9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A5DDB"/>
    <w:multiLevelType w:val="hybridMultilevel"/>
    <w:tmpl w:val="4B905EE2"/>
    <w:lvl w:ilvl="0" w:tplc="0E74D0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71C82"/>
    <w:multiLevelType w:val="hybridMultilevel"/>
    <w:tmpl w:val="564859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15253"/>
    <w:multiLevelType w:val="hybridMultilevel"/>
    <w:tmpl w:val="EFBC8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32919"/>
    <w:multiLevelType w:val="hybridMultilevel"/>
    <w:tmpl w:val="A78AFA38"/>
    <w:lvl w:ilvl="0" w:tplc="0388B4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5722D"/>
    <w:multiLevelType w:val="hybridMultilevel"/>
    <w:tmpl w:val="E8B8656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F0CD9"/>
    <w:multiLevelType w:val="hybridMultilevel"/>
    <w:tmpl w:val="01EE7422"/>
    <w:lvl w:ilvl="0" w:tplc="C8ECA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364C6"/>
    <w:multiLevelType w:val="multilevel"/>
    <w:tmpl w:val="80F6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CD7395"/>
    <w:multiLevelType w:val="hybridMultilevel"/>
    <w:tmpl w:val="E1A0546C"/>
    <w:lvl w:ilvl="0" w:tplc="6AA499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190501">
    <w:abstractNumId w:val="1"/>
  </w:num>
  <w:num w:numId="2" w16cid:durableId="1566408087">
    <w:abstractNumId w:val="0"/>
  </w:num>
  <w:num w:numId="3" w16cid:durableId="770126558">
    <w:abstractNumId w:val="7"/>
  </w:num>
  <w:num w:numId="4" w16cid:durableId="577784713">
    <w:abstractNumId w:val="6"/>
  </w:num>
  <w:num w:numId="5" w16cid:durableId="1360349555">
    <w:abstractNumId w:val="9"/>
  </w:num>
  <w:num w:numId="6" w16cid:durableId="955791387">
    <w:abstractNumId w:val="4"/>
  </w:num>
  <w:num w:numId="7" w16cid:durableId="1832332997">
    <w:abstractNumId w:val="2"/>
  </w:num>
  <w:num w:numId="8" w16cid:durableId="2068797071">
    <w:abstractNumId w:val="10"/>
  </w:num>
  <w:num w:numId="9" w16cid:durableId="1593319423">
    <w:abstractNumId w:val="5"/>
  </w:num>
  <w:num w:numId="10" w16cid:durableId="204685627">
    <w:abstractNumId w:val="3"/>
  </w:num>
  <w:num w:numId="11" w16cid:durableId="5119153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58"/>
    <w:rsid w:val="000845E8"/>
    <w:rsid w:val="000A10B6"/>
    <w:rsid w:val="000D697D"/>
    <w:rsid w:val="001301C5"/>
    <w:rsid w:val="00156A91"/>
    <w:rsid w:val="00166298"/>
    <w:rsid w:val="00173926"/>
    <w:rsid w:val="001F382E"/>
    <w:rsid w:val="00246706"/>
    <w:rsid w:val="002C1242"/>
    <w:rsid w:val="002C5175"/>
    <w:rsid w:val="002D21C3"/>
    <w:rsid w:val="00304FEE"/>
    <w:rsid w:val="003132E7"/>
    <w:rsid w:val="003317B1"/>
    <w:rsid w:val="00345DF4"/>
    <w:rsid w:val="00346E67"/>
    <w:rsid w:val="0039019A"/>
    <w:rsid w:val="003C00B8"/>
    <w:rsid w:val="0045668D"/>
    <w:rsid w:val="00487CFA"/>
    <w:rsid w:val="004A1B8D"/>
    <w:rsid w:val="004A2511"/>
    <w:rsid w:val="004B0A7B"/>
    <w:rsid w:val="005318E7"/>
    <w:rsid w:val="0055666A"/>
    <w:rsid w:val="005B1D38"/>
    <w:rsid w:val="005F5BED"/>
    <w:rsid w:val="0062318E"/>
    <w:rsid w:val="00667058"/>
    <w:rsid w:val="006B6360"/>
    <w:rsid w:val="006E60A1"/>
    <w:rsid w:val="00704187"/>
    <w:rsid w:val="00715A6F"/>
    <w:rsid w:val="007301C7"/>
    <w:rsid w:val="007B7A49"/>
    <w:rsid w:val="007C6E78"/>
    <w:rsid w:val="00872E6A"/>
    <w:rsid w:val="008848CD"/>
    <w:rsid w:val="008B26AA"/>
    <w:rsid w:val="00906E04"/>
    <w:rsid w:val="00996BCF"/>
    <w:rsid w:val="009C2D51"/>
    <w:rsid w:val="00A00B5F"/>
    <w:rsid w:val="00A43FA8"/>
    <w:rsid w:val="00A6092F"/>
    <w:rsid w:val="00A62480"/>
    <w:rsid w:val="00A972C3"/>
    <w:rsid w:val="00AB0724"/>
    <w:rsid w:val="00AE6CDF"/>
    <w:rsid w:val="00B31BCD"/>
    <w:rsid w:val="00B36ED0"/>
    <w:rsid w:val="00B46B6D"/>
    <w:rsid w:val="00B55A97"/>
    <w:rsid w:val="00BB0BBF"/>
    <w:rsid w:val="00C27B2B"/>
    <w:rsid w:val="00C63618"/>
    <w:rsid w:val="00C83946"/>
    <w:rsid w:val="00D223CF"/>
    <w:rsid w:val="00D57DDA"/>
    <w:rsid w:val="00D74A77"/>
    <w:rsid w:val="00D947A2"/>
    <w:rsid w:val="00DB2731"/>
    <w:rsid w:val="00DD4BD5"/>
    <w:rsid w:val="00DE7427"/>
    <w:rsid w:val="00E8460E"/>
    <w:rsid w:val="00ED6313"/>
    <w:rsid w:val="00EE0F54"/>
    <w:rsid w:val="00EF4453"/>
    <w:rsid w:val="00F169DD"/>
    <w:rsid w:val="00F93BF3"/>
    <w:rsid w:val="00F9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A11E"/>
  <w15:docId w15:val="{7DF0341C-9434-48CF-A244-8553AB6C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67058"/>
    <w:rPr>
      <w:b/>
      <w:bCs/>
    </w:rPr>
  </w:style>
  <w:style w:type="character" w:styleId="nfasis">
    <w:name w:val="Emphasis"/>
    <w:basedOn w:val="Fuentedeprrafopredeter"/>
    <w:uiPriority w:val="20"/>
    <w:qFormat/>
    <w:rsid w:val="00667058"/>
    <w:rPr>
      <w:i/>
      <w:iCs/>
    </w:rPr>
  </w:style>
  <w:style w:type="paragraph" w:styleId="Prrafodelista">
    <w:name w:val="List Paragraph"/>
    <w:basedOn w:val="Normal"/>
    <w:uiPriority w:val="34"/>
    <w:qFormat/>
    <w:rsid w:val="006670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70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96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dibiotix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Arbeloa, Laura</dc:creator>
  <cp:lastModifiedBy>Garcia, Maria Isabel</cp:lastModifiedBy>
  <cp:revision>16</cp:revision>
  <dcterms:created xsi:type="dcterms:W3CDTF">2022-03-18T09:16:00Z</dcterms:created>
  <dcterms:modified xsi:type="dcterms:W3CDTF">2022-05-27T06:17:00Z</dcterms:modified>
</cp:coreProperties>
</file>